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</w:t>
      </w:r>
      <w:r w:rsidR="00EB75C2">
        <w:rPr>
          <w:rFonts w:ascii="Calibri" w:hAnsi="Calibri" w:cs="Calibri"/>
          <w:b/>
          <w:sz w:val="16"/>
          <w:szCs w:val="16"/>
        </w:rPr>
        <w:t>dugxgxPV4AhY</w:t>
      </w:r>
      <w:r w:rsidRPr="001A2FE1">
        <w:rPr>
          <w:rFonts w:ascii="Calibri" w:hAnsi="Calibri" w:cs="Calibri"/>
          <w:b/>
          <w:sz w:val="16"/>
          <w:szCs w:val="16"/>
        </w:rPr>
        <w:t>)</w:t>
      </w:r>
      <w:r w:rsidR="0053311C">
        <w:rPr>
          <w:rFonts w:ascii="Calibri" w:hAnsi="Calibri" w:cs="Calibri"/>
          <w:b/>
          <w:sz w:val="16"/>
          <w:szCs w:val="16"/>
        </w:rPr>
        <w:t xml:space="preserve"> - may have changed TBC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272DCC">
        <w:rPr>
          <w:rFonts w:ascii="Calibri" w:hAnsi="Calibri" w:cs="Calibri"/>
          <w:sz w:val="16"/>
          <w:szCs w:val="16"/>
        </w:rPr>
        <w:t>twen</w:t>
      </w:r>
      <w:r w:rsidR="000C2DCE">
        <w:rPr>
          <w:rFonts w:ascii="Calibri" w:hAnsi="Calibri" w:cs="Calibri"/>
          <w:sz w:val="16"/>
          <w:szCs w:val="16"/>
        </w:rPr>
        <w:t xml:space="preserve">ty </w:t>
      </w:r>
      <w:r w:rsidR="00EB75C2">
        <w:rPr>
          <w:rFonts w:ascii="Calibri" w:hAnsi="Calibri" w:cs="Calibri"/>
          <w:sz w:val="16"/>
          <w:szCs w:val="16"/>
        </w:rPr>
        <w:t>sixth</w:t>
      </w:r>
      <w:r w:rsidR="000C2DCE">
        <w:rPr>
          <w:rFonts w:ascii="Calibri" w:hAnsi="Calibri" w:cs="Calibri"/>
          <w:sz w:val="16"/>
          <w:szCs w:val="16"/>
        </w:rPr>
        <w:t xml:space="preserve"> </w:t>
      </w:r>
      <w:r w:rsidRPr="001A2FE1">
        <w:rPr>
          <w:rFonts w:ascii="Calibri" w:hAnsi="Calibri" w:cs="Calibri"/>
          <w:sz w:val="16"/>
          <w:szCs w:val="16"/>
        </w:rPr>
        <w:t xml:space="preserve">meeting - Held Wednesday </w:t>
      </w:r>
      <w:r w:rsidR="00C32F18">
        <w:rPr>
          <w:rFonts w:ascii="Calibri" w:hAnsi="Calibri" w:cs="Calibri"/>
          <w:sz w:val="16"/>
          <w:szCs w:val="16"/>
        </w:rPr>
        <w:t>4</w:t>
      </w:r>
      <w:r w:rsidR="002F581D">
        <w:rPr>
          <w:rFonts w:ascii="Calibri" w:hAnsi="Calibri" w:cs="Calibri"/>
          <w:sz w:val="16"/>
          <w:szCs w:val="16"/>
        </w:rPr>
        <w:t xml:space="preserve">th </w:t>
      </w:r>
      <w:r w:rsidR="00C32F18">
        <w:rPr>
          <w:rFonts w:ascii="Calibri" w:hAnsi="Calibri" w:cs="Calibri"/>
          <w:sz w:val="16"/>
          <w:szCs w:val="16"/>
        </w:rPr>
        <w:t>De</w:t>
      </w:r>
      <w:r w:rsidR="00C32F18">
        <w:rPr>
          <w:rFonts w:ascii="Calibri" w:hAnsi="Calibri" w:cs="Calibri"/>
          <w:sz w:val="16"/>
          <w:szCs w:val="16"/>
          <w:u w:val="double"/>
        </w:rPr>
        <w:t>cember</w:t>
      </w:r>
      <w:r w:rsidR="0022198D">
        <w:rPr>
          <w:rFonts w:ascii="Calibri" w:hAnsi="Calibri" w:cs="Calibri"/>
          <w:sz w:val="16"/>
          <w:szCs w:val="16"/>
        </w:rPr>
        <w:t>,</w:t>
      </w:r>
      <w:r w:rsidRPr="001A2FE1">
        <w:rPr>
          <w:rFonts w:ascii="Calibri" w:hAnsi="Calibri" w:cs="Calibri"/>
          <w:sz w:val="16"/>
          <w:szCs w:val="16"/>
        </w:rPr>
        <w:t xml:space="preserve"> 201</w:t>
      </w:r>
      <w:r w:rsidR="00773534">
        <w:rPr>
          <w:rFonts w:ascii="Calibri" w:hAnsi="Calibri" w:cs="Calibri"/>
          <w:sz w:val="16"/>
          <w:szCs w:val="16"/>
        </w:rPr>
        <w:t>9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EB75C2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268730" cy="1585913"/>
            <wp:effectExtent l="19050" t="0" r="7620" b="0"/>
            <wp:docPr id="1" name="Picture 0" descr="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9" cy="15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798320" cy="1581912"/>
            <wp:effectExtent l="19050" t="0" r="0" b="0"/>
            <wp:docPr id="3" name="Picture 2" descr="top-20-funny-demotivational-pi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20-funny-demotivational-pics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917350" cy="1604674"/>
            <wp:effectExtent l="19050" t="0" r="6700" b="0"/>
            <wp:docPr id="4" name="Picture 3" descr="7-Demotiv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Demotivatio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350" cy="16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8"/>
        <w:gridCol w:w="781"/>
      </w:tblGrid>
      <w:tr w:rsidR="00160B90" w:rsidRPr="001A2FE1" w:rsidTr="004F7423">
        <w:tc>
          <w:tcPr>
            <w:tcW w:w="15559" w:type="dxa"/>
            <w:gridSpan w:val="2"/>
          </w:tcPr>
          <w:p w:rsidR="00160B90" w:rsidRPr="002F581D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2F581D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C461D3" w:rsidRPr="00C461D3" w:rsidRDefault="00160B90" w:rsidP="00C461D3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C461D3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 w:rsidRPr="00C461D3">
              <w:rPr>
                <w:rFonts w:ascii="Calibri" w:hAnsi="Calibri" w:cs="Calibri"/>
                <w:sz w:val="16"/>
                <w:szCs w:val="16"/>
              </w:rPr>
              <w:t>Taylor (JT)</w:t>
            </w:r>
            <w:r w:rsidR="007B028F" w:rsidRPr="00C461D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 w:rsidRPr="00C461D3">
              <w:rPr>
                <w:rFonts w:ascii="Calibri" w:hAnsi="Calibri" w:cs="Calibri"/>
                <w:sz w:val="16"/>
                <w:szCs w:val="16"/>
              </w:rPr>
              <w:t>,</w:t>
            </w:r>
            <w:r w:rsidR="007B028F" w:rsidRPr="00C461D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1FDF" w:rsidRPr="00C461D3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E6599D" w:rsidRPr="00C461D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C461D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C0521" w:rsidRPr="00C461D3"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 w:rsidR="00EC0521" w:rsidRPr="00C461D3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EC0521" w:rsidRPr="00C461D3">
              <w:rPr>
                <w:rFonts w:ascii="Calibri" w:hAnsi="Calibri" w:cs="Calibri"/>
                <w:sz w:val="16"/>
                <w:szCs w:val="16"/>
              </w:rPr>
              <w:t xml:space="preserve"> (DS),  </w:t>
            </w:r>
            <w:r w:rsidR="002F581D" w:rsidRPr="00C461D3">
              <w:rPr>
                <w:rFonts w:ascii="Calibri" w:hAnsi="Calibri" w:cs="Calibri"/>
                <w:sz w:val="16"/>
                <w:szCs w:val="16"/>
              </w:rPr>
              <w:t xml:space="preserve">Alan Whitmore (AJW),  Dave </w:t>
            </w:r>
            <w:proofErr w:type="spellStart"/>
            <w:r w:rsidR="002F581D" w:rsidRPr="00C461D3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2F581D" w:rsidRPr="00C461D3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2F581D" w:rsidRPr="00C461D3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2F581D" w:rsidRPr="00C461D3">
              <w:rPr>
                <w:rFonts w:ascii="Calibri" w:hAnsi="Calibri" w:cs="Calibri"/>
                <w:sz w:val="16"/>
                <w:szCs w:val="16"/>
              </w:rPr>
              <w:t>)</w:t>
            </w:r>
            <w:r w:rsidR="00C461D3" w:rsidRPr="00C461D3">
              <w:rPr>
                <w:rFonts w:ascii="Calibri" w:hAnsi="Calibri" w:cs="Calibri"/>
                <w:sz w:val="16"/>
                <w:szCs w:val="16"/>
              </w:rPr>
              <w:t xml:space="preserve">,  Sri </w:t>
            </w:r>
            <w:proofErr w:type="spellStart"/>
            <w:r w:rsidR="00C461D3" w:rsidRPr="00C461D3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C461D3" w:rsidRPr="00C461D3">
              <w:rPr>
                <w:rFonts w:ascii="Calibri" w:hAnsi="Calibri" w:cs="Calibri"/>
                <w:sz w:val="16"/>
                <w:szCs w:val="16"/>
              </w:rPr>
              <w:t xml:space="preserve"> (SM), Dean Goodwin (DG</w:t>
            </w:r>
            <w:r w:rsidR="00C461D3">
              <w:rPr>
                <w:rFonts w:ascii="Calibri" w:hAnsi="Calibri" w:cs="Calibri"/>
                <w:sz w:val="16"/>
                <w:szCs w:val="16"/>
              </w:rPr>
              <w:t xml:space="preserve">), </w:t>
            </w:r>
            <w:r w:rsidR="00C461D3" w:rsidRPr="002F581D"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 w:rsidR="00C461D3" w:rsidRPr="002F581D"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 w:rsidR="00C461D3" w:rsidRPr="002F581D">
              <w:rPr>
                <w:rFonts w:ascii="Calibri" w:hAnsi="Calibri" w:cs="Calibri"/>
                <w:sz w:val="16"/>
                <w:szCs w:val="16"/>
              </w:rPr>
              <w:t xml:space="preserve"> (MC)</w:t>
            </w:r>
            <w:r w:rsidR="00C461D3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C461D3" w:rsidRPr="002F581D">
              <w:rPr>
                <w:rFonts w:ascii="Calibri" w:hAnsi="Calibri" w:cs="Calibri"/>
                <w:sz w:val="16"/>
                <w:szCs w:val="16"/>
              </w:rPr>
              <w:t>Emma Chadwick (EC</w:t>
            </w:r>
            <w:r w:rsidR="00C461D3">
              <w:rPr>
                <w:rFonts w:ascii="Calibri" w:hAnsi="Calibri" w:cs="Calibri"/>
                <w:sz w:val="16"/>
                <w:szCs w:val="16"/>
              </w:rPr>
              <w:t xml:space="preserve">) and </w:t>
            </w:r>
            <w:r w:rsidR="00C461D3" w:rsidRPr="002F581D"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 w:rsidR="00C461D3" w:rsidRPr="002F581D">
              <w:rPr>
                <w:rFonts w:ascii="Calibri" w:hAnsi="Calibri" w:cs="Calibri"/>
                <w:sz w:val="16"/>
                <w:szCs w:val="16"/>
              </w:rPr>
              <w:t>guffin's</w:t>
            </w:r>
            <w:proofErr w:type="spellEnd"/>
            <w:r w:rsidR="00C461D3" w:rsidRPr="002F581D">
              <w:rPr>
                <w:rFonts w:ascii="Calibri" w:hAnsi="Calibri" w:cs="Calibri"/>
                <w:sz w:val="16"/>
                <w:szCs w:val="16"/>
              </w:rPr>
              <w:t xml:space="preserve"> dog)</w:t>
            </w:r>
          </w:p>
          <w:p w:rsidR="007512BB" w:rsidRPr="002F581D" w:rsidRDefault="007512BB" w:rsidP="00C461D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12ED5" w:rsidRPr="002F581D" w:rsidRDefault="00160B90" w:rsidP="007512BB">
            <w:p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C461D3" w:rsidRDefault="00C461D3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Gareth "Bloody"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(GE) - twice in a decade was pushing it!</w:t>
            </w:r>
          </w:p>
          <w:p w:rsidR="00C461D3" w:rsidRPr="002F581D" w:rsidRDefault="00C461D3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>Mike Helm (MH)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......nope</w:t>
            </w:r>
          </w:p>
          <w:p w:rsidR="00D80096" w:rsidRPr="002F581D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61D3">
              <w:rPr>
                <w:rFonts w:ascii="Calibri" w:hAnsi="Calibri" w:cs="Calibri"/>
                <w:sz w:val="16"/>
                <w:szCs w:val="16"/>
              </w:rPr>
              <w:t>voting Bradley?</w:t>
            </w:r>
          </w:p>
          <w:p w:rsidR="0024501E" w:rsidRPr="00377AC3" w:rsidRDefault="00554CC7" w:rsidP="00C461D3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2F581D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2F581D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2F581D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22A7C" w:rsidRPr="00922A7C">
              <w:rPr>
                <w:rFonts w:ascii="Calibri" w:hAnsi="Calibri" w:cs="Calibri"/>
                <w:sz w:val="16"/>
                <w:szCs w:val="16"/>
              </w:rPr>
              <w:t xml:space="preserve">“Les </w:t>
            </w:r>
            <w:proofErr w:type="spellStart"/>
            <w:r w:rsidR="00922A7C" w:rsidRPr="00922A7C">
              <w:rPr>
                <w:rFonts w:ascii="Calibri" w:hAnsi="Calibri" w:cs="Calibri"/>
                <w:sz w:val="16"/>
                <w:szCs w:val="16"/>
              </w:rPr>
              <w:t>carottes</w:t>
            </w:r>
            <w:proofErr w:type="spellEnd"/>
            <w:r w:rsidR="00922A7C" w:rsidRPr="00922A7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922A7C" w:rsidRPr="00922A7C">
              <w:rPr>
                <w:rFonts w:ascii="Calibri" w:hAnsi="Calibri" w:cs="Calibri"/>
                <w:sz w:val="16"/>
                <w:szCs w:val="16"/>
              </w:rPr>
              <w:t>sont</w:t>
            </w:r>
            <w:proofErr w:type="spellEnd"/>
            <w:r w:rsidR="00922A7C" w:rsidRPr="00922A7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922A7C" w:rsidRPr="00922A7C">
              <w:rPr>
                <w:rFonts w:ascii="Calibri" w:hAnsi="Calibri" w:cs="Calibri"/>
                <w:sz w:val="16"/>
                <w:szCs w:val="16"/>
              </w:rPr>
              <w:t>cuites</w:t>
            </w:r>
            <w:proofErr w:type="spellEnd"/>
            <w:r w:rsidR="00922A7C" w:rsidRPr="00922A7C">
              <w:rPr>
                <w:rFonts w:ascii="Calibri" w:hAnsi="Calibri" w:cs="Calibri"/>
                <w:sz w:val="16"/>
                <w:szCs w:val="16"/>
              </w:rPr>
              <w:t>”</w:t>
            </w:r>
            <w:r w:rsidR="00922A7C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BF5D81" w:rsidRPr="002F581D">
              <w:rPr>
                <w:rFonts w:ascii="Calibri" w:hAnsi="Calibri" w:cs="Calibri"/>
                <w:sz w:val="16"/>
                <w:szCs w:val="16"/>
              </w:rPr>
              <w:t>T</w:t>
            </w:r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his month, </w:t>
            </w:r>
            <w:proofErr w:type="spellStart"/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shares his initials with </w:t>
            </w:r>
            <w:r w:rsidR="00056849" w:rsidRPr="002F581D">
              <w:rPr>
                <w:rFonts w:ascii="Calibri" w:hAnsi="Calibri" w:cs="Calibri"/>
                <w:spacing w:val="-11"/>
                <w:sz w:val="16"/>
                <w:szCs w:val="16"/>
              </w:rPr>
              <w:t>J</w:t>
            </w:r>
            <w:r w:rsidR="00C461D3">
              <w:rPr>
                <w:rFonts w:ascii="Calibri" w:hAnsi="Calibri" w:cs="Calibri"/>
                <w:spacing w:val="-11"/>
                <w:sz w:val="16"/>
                <w:szCs w:val="16"/>
              </w:rPr>
              <w:t>oe Cannon, a former USA goalkeeper, who played twice for the USA and had two stints with the San Jose Earthquakes!</w:t>
            </w:r>
            <w:r w:rsidR="002F581D" w:rsidRPr="002F581D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C461D3"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364457" cy="463550"/>
                  <wp:effectExtent l="19050" t="0" r="0" b="0"/>
                  <wp:docPr id="2" name="Picture 1" descr="Joe_Cannon_-_San_Jose_Earthqu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e_Cannon_-_San_Jose_Earthquake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5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B90" w:rsidRPr="001A2FE1" w:rsidTr="004F7423">
        <w:tc>
          <w:tcPr>
            <w:tcW w:w="15559" w:type="dxa"/>
            <w:gridSpan w:val="2"/>
          </w:tcPr>
          <w:p w:rsidR="00160B90" w:rsidRDefault="00160B90" w:rsidP="002F581D">
            <w:pPr>
              <w:tabs>
                <w:tab w:val="left" w:pos="551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  <w:r w:rsidR="002F581D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F22467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Treasurers Report </w:t>
            </w:r>
          </w:p>
          <w:p w:rsidR="00160B90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C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S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hare </w:t>
            </w:r>
            <w:r w:rsidR="006030E4">
              <w:rPr>
                <w:rFonts w:ascii="Calibri" w:hAnsi="Calibri" w:cs="Calibri"/>
                <w:sz w:val="16"/>
                <w:szCs w:val="16"/>
              </w:rPr>
              <w:t>U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6030E4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Current Digital U</w:t>
            </w:r>
            <w:r w:rsidR="00F22467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Financial Statement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Dividends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Homework (</w:t>
            </w:r>
            <w:r w:rsidR="006030E4">
              <w:rPr>
                <w:rFonts w:ascii="Calibri" w:hAnsi="Calibri" w:cs="Calibri"/>
                <w:sz w:val="16"/>
                <w:szCs w:val="16"/>
              </w:rPr>
              <w:t>C</w:t>
            </w:r>
            <w:r w:rsid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="00F22467">
              <w:rPr>
                <w:rFonts w:ascii="Calibri" w:hAnsi="Calibri" w:cs="Calibri"/>
                <w:sz w:val="16"/>
                <w:szCs w:val="16"/>
              </w:rPr>
              <w:t>ortfolio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22467" w:rsidRDefault="00F22467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Strategy for </w:t>
            </w:r>
            <w:r w:rsidR="006030E4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ew </w:t>
            </w:r>
            <w:r w:rsidR="006030E4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nvestment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New Companies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 xml:space="preserve">Re-investment in </w:t>
            </w:r>
            <w:r w:rsidR="006030E4">
              <w:rPr>
                <w:rFonts w:ascii="Calibri" w:hAnsi="Calibri" w:cs="Calibri"/>
                <w:sz w:val="16"/>
                <w:szCs w:val="16"/>
              </w:rPr>
              <w:t>E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xisting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F22467">
              <w:rPr>
                <w:rFonts w:ascii="Calibri" w:hAnsi="Calibri" w:cs="Calibri"/>
                <w:sz w:val="16"/>
                <w:szCs w:val="16"/>
              </w:rPr>
              <w:t>ortfolio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F22467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Next Meeting</w:t>
            </w:r>
          </w:p>
        </w:tc>
      </w:tr>
      <w:tr w:rsidR="00160B90" w:rsidRPr="001A2FE1" w:rsidTr="004F7423">
        <w:trPr>
          <w:trHeight w:val="622"/>
        </w:trPr>
        <w:tc>
          <w:tcPr>
            <w:tcW w:w="14778" w:type="dxa"/>
          </w:tcPr>
          <w:p w:rsidR="00C83D4C" w:rsidRPr="007C5D6B" w:rsidRDefault="00160B90" w:rsidP="008A32F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hAnsi="Calibri" w:cs="Calibri"/>
                <w:b/>
                <w:sz w:val="15"/>
                <w:szCs w:val="15"/>
              </w:rPr>
            </w:pPr>
            <w:r w:rsidRPr="008A32F4">
              <w:rPr>
                <w:rFonts w:asciiTheme="minorHAnsi" w:hAnsiTheme="minorHAnsi" w:cstheme="minorHAnsi"/>
                <w:sz w:val="15"/>
                <w:szCs w:val="15"/>
              </w:rPr>
              <w:t xml:space="preserve">Okay Previous Minutes  What, there were minutes - no way - seriously, does anyone read this </w:t>
            </w:r>
            <w:r w:rsidR="000A7DF5">
              <w:t xml:space="preserve"> </w:t>
            </w:r>
            <w:r w:rsidR="008A32F4">
              <w:t xml:space="preserve"> </w:t>
            </w:r>
            <w:r w:rsidR="007324FA" w:rsidRPr="007324FA">
              <w:rPr>
                <w:rFonts w:asciiTheme="minorHAnsi" w:hAnsiTheme="minorHAnsi" w:cstheme="minorHAnsi"/>
                <w:b/>
                <w:i/>
                <w:color w:val="333333"/>
                <w:spacing w:val="5"/>
                <w:sz w:val="16"/>
                <w:szCs w:val="16"/>
                <w:shd w:val="clear" w:color="auto" w:fill="FFFFFF"/>
              </w:rPr>
              <w:t>A bolt of lightning contains enough energy to toast 100,000 slices of bread</w:t>
            </w:r>
            <w:r w:rsidR="008A32F4" w:rsidRPr="008A32F4"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  <w:t>.</w:t>
            </w:r>
            <w:r w:rsidR="008A32F4" w:rsidRPr="008A32F4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7324FA" w:rsidRPr="007324FA">
              <w:rPr>
                <w:rFonts w:asciiTheme="minorHAnsi" w:hAnsiTheme="minorHAnsi" w:cstheme="minorHAnsi"/>
                <w:color w:val="4A4A4A"/>
                <w:sz w:val="16"/>
                <w:szCs w:val="16"/>
                <w:shd w:val="clear" w:color="auto" w:fill="FFFFFF"/>
              </w:rPr>
              <w:t>If you consider that each bolt of lightning contains more than </w:t>
            </w:r>
            <w:r w:rsidR="007324FA" w:rsidRPr="007324FA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5 billion Joules</w:t>
            </w:r>
            <w:r w:rsidR="007324FA" w:rsidRPr="007324FA">
              <w:rPr>
                <w:rFonts w:asciiTheme="minorHAnsi" w:hAnsiTheme="minorHAnsi" w:cstheme="minorHAnsi"/>
                <w:color w:val="4A4A4A"/>
                <w:sz w:val="16"/>
                <w:szCs w:val="16"/>
                <w:shd w:val="clear" w:color="auto" w:fill="FFFFFF"/>
              </w:rPr>
              <w:t> of energy, then the average 1000-watt, two-slice toaster could be powered for 84,000 minutes with just one strike. That's just enough time to toast about 100,000 slices of bread, bagels, English muffins—whatever you prefer.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4F7423">
        <w:tc>
          <w:tcPr>
            <w:tcW w:w="14778" w:type="dxa"/>
          </w:tcPr>
          <w:p w:rsidR="0024501E" w:rsidRPr="007C5D6B" w:rsidRDefault="001D19CE" w:rsidP="0099058C">
            <w:pPr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</w:t>
            </w:r>
            <w:r w:rsidR="0024501E" w:rsidRPr="007C5D6B">
              <w:rPr>
                <w:rFonts w:ascii="Calibri" w:hAnsi="Calibri" w:cs="Calibri"/>
                <w:b/>
                <w:sz w:val="15"/>
                <w:szCs w:val="15"/>
              </w:rPr>
              <w:t>.  Previous Actions</w:t>
            </w:r>
          </w:p>
          <w:p w:rsidR="00160B90" w:rsidRPr="007C5D6B" w:rsidRDefault="00160B90" w:rsidP="0099058C">
            <w:pPr>
              <w:rPr>
                <w:rFonts w:ascii="Calibri" w:hAnsi="Calibri" w:cs="Calibri"/>
                <w:b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2.3.1</w:t>
            </w:r>
            <w:r w:rsidRPr="007C5D6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- NCP to email TDW re: currency error on account and what is needed to trade in US - Info received but memberships require sorting with TDW - back to NCP - </w:t>
            </w:r>
            <w:r w:rsidR="002A6831" w:rsidRPr="007C5D6B">
              <w:rPr>
                <w:rFonts w:ascii="Calibri" w:hAnsi="Calibri" w:cs="Calibri"/>
                <w:sz w:val="15"/>
                <w:szCs w:val="15"/>
              </w:rPr>
              <w:t>NCP to grab papers</w:t>
            </w:r>
            <w:r w:rsidR="00B94D12" w:rsidRPr="007C5D6B">
              <w:rPr>
                <w:rFonts w:ascii="Calibri" w:hAnsi="Calibri" w:cs="Calibri"/>
                <w:sz w:val="15"/>
                <w:szCs w:val="15"/>
              </w:rPr>
              <w:t>.</w:t>
            </w:r>
            <w:r w:rsidR="00255C40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 xml:space="preserve"> </w:t>
            </w:r>
            <w:r w:rsidR="00CE7043" w:rsidRPr="00236A8A">
              <w:rPr>
                <w:rFonts w:ascii="Calibri" w:hAnsi="Calibri" w:cs="Calibri"/>
                <w:b/>
                <w:sz w:val="15"/>
                <w:szCs w:val="15"/>
              </w:rPr>
              <w:t>Written to by hand with a request for info!</w:t>
            </w:r>
            <w:r w:rsidR="00236A8A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 xml:space="preserve"> Got info!!</w:t>
            </w:r>
          </w:p>
          <w:p w:rsidR="0059577E" w:rsidRPr="007C5D6B" w:rsidRDefault="0059577E" w:rsidP="0059577E">
            <w:pPr>
              <w:rPr>
                <w:rFonts w:ascii="Calibri" w:hAnsi="Calibri" w:cs="Calibri"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22.4.3.2</w:t>
            </w:r>
            <w:r w:rsidRPr="007C5D6B">
              <w:rPr>
                <w:rFonts w:ascii="Calibri" w:hAnsi="Calibri" w:cs="Calibri"/>
                <w:sz w:val="15"/>
                <w:szCs w:val="15"/>
              </w:rPr>
              <w:t xml:space="preserve"> - JT to chase House Crowd for profit details</w:t>
            </w:r>
            <w:r w:rsidR="008F656D" w:rsidRPr="007C5D6B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 </w:t>
            </w:r>
            <w:r w:rsidR="008F656D" w:rsidRPr="000A7DF5">
              <w:rPr>
                <w:rFonts w:ascii="Calibri" w:hAnsi="Calibri" w:cs="Calibri"/>
                <w:sz w:val="15"/>
                <w:szCs w:val="15"/>
              </w:rPr>
              <w:t>- awaiting 3 properties to be sold.</w:t>
            </w:r>
            <w:r w:rsidR="000A7DF5">
              <w:rPr>
                <w:rFonts w:ascii="Calibri" w:hAnsi="Calibri" w:cs="Calibri"/>
                <w:sz w:val="15"/>
                <w:szCs w:val="15"/>
              </w:rPr>
              <w:t xml:space="preserve"> - </w:t>
            </w:r>
            <w:r w:rsidR="00236A8A" w:rsidRPr="00236A8A">
              <w:rPr>
                <w:rFonts w:ascii="Calibri" w:hAnsi="Calibri" w:cs="Calibri"/>
                <w:sz w:val="15"/>
                <w:szCs w:val="15"/>
              </w:rPr>
              <w:t>just 1 property left now.</w:t>
            </w:r>
            <w:r w:rsidR="00236A8A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  Nope, apparently 2 properties left.</w:t>
            </w:r>
          </w:p>
          <w:p w:rsidR="003F5F33" w:rsidRPr="006030E4" w:rsidRDefault="003F5F33" w:rsidP="003F5F33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Pr="00CE7043">
              <w:rPr>
                <w:rFonts w:ascii="Calibri" w:hAnsi="Calibri" w:cs="Calibri"/>
                <w:sz w:val="14"/>
                <w:szCs w:val="14"/>
              </w:rPr>
              <w:t>£470.56 in Crypto currencies. It was agreed to take £250 profit - MC to be asked to transfer to JT</w:t>
            </w:r>
            <w:r w:rsidR="00CE704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to do</w:t>
            </w:r>
            <w:r w:rsidR="00236A8A">
              <w:rPr>
                <w:rFonts w:ascii="Calibri" w:hAnsi="Calibri" w:cs="Calibri"/>
                <w:color w:val="FF0000"/>
                <w:sz w:val="14"/>
                <w:szCs w:val="14"/>
              </w:rPr>
              <w:t>?</w:t>
            </w:r>
          </w:p>
          <w:p w:rsidR="005D7F7E" w:rsidRPr="008F656D" w:rsidRDefault="003F5F33" w:rsidP="005D7F7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24.3.3.2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</w:t>
            </w:r>
            <w:r w:rsidRPr="00CE7043">
              <w:rPr>
                <w:rFonts w:ascii="Calibri" w:hAnsi="Calibri" w:cs="Calibri"/>
                <w:sz w:val="14"/>
                <w:szCs w:val="14"/>
              </w:rPr>
              <w:t>JT agreed to add a column for individual share purchase price - book cost/ shares held</w:t>
            </w:r>
            <w:r w:rsidR="00CE704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</w:t>
            </w:r>
            <w:r w:rsidR="00236A8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still </w:t>
            </w:r>
            <w:r w:rsidR="00CE7043">
              <w:rPr>
                <w:rFonts w:ascii="Calibri" w:hAnsi="Calibri" w:cs="Calibri"/>
                <w:color w:val="FF0000"/>
                <w:sz w:val="14"/>
                <w:szCs w:val="14"/>
              </w:rPr>
              <w:t>to do</w:t>
            </w:r>
            <w:r w:rsidR="00236A8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by JT.</w:t>
            </w:r>
          </w:p>
          <w:p w:rsidR="00FE47FE" w:rsidRPr="00B71F88" w:rsidRDefault="00FE47FE" w:rsidP="00FE47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26.5.1.1 -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Discussions abound and decided to purchase £1,000 of Trig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Renewables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and an additional £500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</w:p>
          <w:p w:rsidR="00450E27" w:rsidRDefault="00450E27" w:rsidP="00450E2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.1 -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An additional £500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59577E" w:rsidRPr="007C5D6B" w:rsidRDefault="0059577E" w:rsidP="00393F27">
            <w:pPr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781" w:type="dxa"/>
          </w:tcPr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36A8A" w:rsidRDefault="00236A8A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236A8A" w:rsidRDefault="00236A8A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5D7F7E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MC/JT</w:t>
            </w:r>
          </w:p>
          <w:p w:rsidR="003F5F33" w:rsidRDefault="003F5F33" w:rsidP="00236A8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FE47FE" w:rsidRDefault="00FE47FE" w:rsidP="00236A8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450E27" w:rsidRPr="001A2FE1" w:rsidRDefault="00450E27" w:rsidP="00236A8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</w:tc>
      </w:tr>
      <w:tr w:rsidR="00160B90" w:rsidRPr="001A2FE1" w:rsidTr="004F7423">
        <w:trPr>
          <w:trHeight w:val="3541"/>
        </w:trPr>
        <w:tc>
          <w:tcPr>
            <w:tcW w:w="14778" w:type="dxa"/>
          </w:tcPr>
          <w:p w:rsidR="006030E4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 Treasurers Report </w:t>
            </w:r>
          </w:p>
          <w:p w:rsid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 xml:space="preserve"> Current Share Update</w:t>
            </w:r>
          </w:p>
          <w:tbl>
            <w:tblPr>
              <w:tblW w:w="4882" w:type="pct"/>
              <w:shd w:val="clear" w:color="auto" w:fill="D99594" w:themeFill="accent2" w:themeFillTint="99"/>
              <w:tblLook w:val="04A0"/>
            </w:tblPr>
            <w:tblGrid>
              <w:gridCol w:w="985"/>
              <w:gridCol w:w="583"/>
              <w:gridCol w:w="2529"/>
              <w:gridCol w:w="941"/>
              <w:gridCol w:w="989"/>
              <w:gridCol w:w="1083"/>
              <w:gridCol w:w="1080"/>
              <w:gridCol w:w="901"/>
              <w:gridCol w:w="901"/>
              <w:gridCol w:w="1086"/>
              <w:gridCol w:w="804"/>
              <w:gridCol w:w="1165"/>
              <w:gridCol w:w="1162"/>
            </w:tblGrid>
            <w:tr w:rsidR="004F7423" w:rsidTr="00DF6A73">
              <w:trPr>
                <w:trHeight w:val="402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Symbol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Qty.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Description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Champion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Mid Price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Price Change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Market Value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Book Cost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Gain/Loss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proofErr w:type="spellStart"/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Prev</w:t>
                  </w:r>
                  <w:proofErr w:type="spellEnd"/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 xml:space="preserve"> Month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Variance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4F7423" w:rsidRPr="004F7423" w:rsidRDefault="004F7423" w:rsidP="00DF6A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Cost per s</w:t>
                  </w:r>
                  <w:r w:rsidRPr="004F7423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hare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4F7423" w:rsidRPr="004F7423" w:rsidRDefault="004F7423" w:rsidP="00DF6A7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Current price per share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ASC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ASOS PLC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3109.00p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29.00p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870.52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976.63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-106.11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983.36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-112.84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34.88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31.09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CDM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438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CODEMASTERS GROUP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241.50p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1057.77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999.95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57.82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954.84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102.93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2.28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2.42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3312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HAYDALE GRAPHENE INDUSTRIES PLC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1.90p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62.93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557.52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-494.59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48.02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14.91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0.17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0.02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3935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IMMOTION GROUP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6.95p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-0.15p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273.48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499.91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-226.43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289.22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-15.74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0.13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0.07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MNG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M&amp;G PLC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224.80p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-6.20p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107.9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106.81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1.09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102.24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5.66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2.23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2.25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NFC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NEXT FIFTEEN COMMUNICATIONS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470.00p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-5.50p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587.5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746.2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-158.7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615.63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-28.13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5.97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4.70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PRUDENTIAL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1312.50p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630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642.53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-12.53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655.92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-25.92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13.39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13.13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PURPLE BRICKS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105.00p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4.80p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155.4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747.41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-592.01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167.83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-12.43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5.05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1.05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RAI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916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 International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MH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34.40p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-0.10p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315.1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499.88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-184.78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352.66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-37.56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0.55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0.34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SXX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8345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SIRIUS MINERALS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3.59p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0.16p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299.25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-450.75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248.51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50.74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0.09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0.04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SMDS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204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SMITH(DS)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378.90p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10.60p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772.96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747.72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25.24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729.3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43.66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3.67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3.79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432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 GROUP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155.00p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-1.75p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669.6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748.72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-79.12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669.6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1.73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1.55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TSTR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1156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TRI-STAR RESOURCES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36.50p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421.94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-328.06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358.36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63.58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0.65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0.37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VRS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547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VERSARIEN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93.50p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-3.00p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511.45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999.74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-488.29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511.45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1.83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0.94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372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VODAFONE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146.08p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-0.66p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543.42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749.37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-205.95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586.05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-42.63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2.01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1.46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FAN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VOLUTION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203.00p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832.3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748.31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83.99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807.7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24.6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1.83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7423" w:rsidRPr="004F7423" w:rsidRDefault="004F7423">
                  <w:pPr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2.03</w:t>
                  </w:r>
                </w:p>
              </w:tc>
            </w:tr>
            <w:tr w:rsidR="004F7423" w:rsidTr="004F7423">
              <w:trPr>
                <w:trHeight w:val="144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Totals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8111.52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11270.70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-3159.18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8080.69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Pr="004F7423" w:rsidRDefault="004F7423" w:rsidP="004F74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4F7423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30.83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F7423" w:rsidRDefault="004F7423" w:rsidP="004F7423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F7423" w:rsidRPr="004F7423" w:rsidRDefault="004F7423" w:rsidP="004F7423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>Current Digital Update</w:t>
            </w:r>
          </w:p>
          <w:p w:rsidR="006030E4" w:rsidRDefault="0059577E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9852F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10.07</w:t>
            </w:r>
            <w:r w:rsidR="00BD2C42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in Crypto currencies.</w:t>
            </w:r>
            <w:r w:rsid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</w:p>
          <w:p w:rsidR="006030E4" w:rsidRPr="00B30BC8" w:rsidRDefault="006030E4" w:rsidP="00990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Financial Statement</w:t>
            </w:r>
          </w:p>
          <w:p w:rsidR="006030E4" w:rsidRDefault="00D90241" w:rsidP="006030E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9852F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5F72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The club has cash of £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11,314.09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Cash at Barclays is </w:t>
            </w:r>
            <w:r w:rsidR="00A251C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approx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287.32</w:t>
            </w:r>
            <w:r w:rsidR="00B30BC8" w:rsidRPr="007C5D6B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4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each in 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8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units, now worth £</w:t>
            </w:r>
            <w:r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233.48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1 Unit = 32.46, rise of 8.2%. 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9852FA">
              <w:rPr>
                <w:rFonts w:ascii="Calibri" w:hAnsi="Calibri" w:cs="Calibri"/>
                <w:color w:val="FF0000"/>
                <w:sz w:val="14"/>
                <w:szCs w:val="14"/>
              </w:rPr>
              <w:t>Merlin  buy out - £1,192.10 on 18/11.</w:t>
            </w:r>
          </w:p>
          <w:p w:rsidR="00136673" w:rsidRPr="00136673" w:rsidRDefault="007A0D8D" w:rsidP="006030E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F35795">
              <w:rPr>
                <w:noProof/>
              </w:rPr>
              <w:t xml:space="preserve">   </w:t>
            </w:r>
            <w:r w:rsidR="009852FA">
              <w:rPr>
                <w:noProof/>
              </w:rPr>
              <w:t xml:space="preserve"> </w:t>
            </w:r>
            <w:r w:rsidR="009852FA" w:rsidRPr="009852FA">
              <w:rPr>
                <w:noProof/>
              </w:rPr>
              <w:drawing>
                <wp:inline distT="0" distB="0" distL="0" distR="0">
                  <wp:extent cx="2768600" cy="1828800"/>
                  <wp:effectExtent l="19050" t="0" r="1270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9852FA">
              <w:rPr>
                <w:noProof/>
              </w:rPr>
              <w:t xml:space="preserve"> </w:t>
            </w:r>
            <w:r w:rsidR="009852FA" w:rsidRPr="009852FA">
              <w:rPr>
                <w:noProof/>
              </w:rPr>
              <w:drawing>
                <wp:inline distT="0" distB="0" distL="0" distR="0">
                  <wp:extent cx="2838450" cy="1822450"/>
                  <wp:effectExtent l="19050" t="0" r="19050" b="6350"/>
                  <wp:docPr id="6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9852FA">
              <w:rPr>
                <w:noProof/>
              </w:rPr>
              <w:t xml:space="preserve"> </w:t>
            </w:r>
            <w:r w:rsidR="009852FA" w:rsidRPr="009852FA">
              <w:rPr>
                <w:noProof/>
              </w:rPr>
              <w:drawing>
                <wp:inline distT="0" distB="0" distL="0" distR="0">
                  <wp:extent cx="2603500" cy="1822450"/>
                  <wp:effectExtent l="19050" t="0" r="25400" b="6350"/>
                  <wp:docPr id="7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6030E4" w:rsidRDefault="006030E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030E4" w:rsidRPr="00B30BC8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Dividends</w:t>
            </w:r>
          </w:p>
          <w:p w:rsidR="006030E4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9852F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9852FA">
              <w:rPr>
                <w:rFonts w:ascii="Calibri" w:hAnsi="Calibri" w:cs="Calibri"/>
                <w:color w:val="FF0000"/>
                <w:sz w:val="16"/>
                <w:szCs w:val="16"/>
              </w:rPr>
              <w:t>22/11 Next 15 - £3.72, 1/11 - Smith DS - £22.44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297092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  <w:r w:rsidRPr="00981C2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Homework (</w:t>
            </w:r>
            <w:r w:rsidR="00B30BC8">
              <w:rPr>
                <w:rFonts w:ascii="Calibri" w:hAnsi="Calibri" w:cs="Calibri"/>
                <w:b/>
                <w:sz w:val="16"/>
                <w:szCs w:val="16"/>
              </w:rPr>
              <w:t>Current Portfolio)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B30BC8" w:rsidRDefault="00FE47FE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ASOS - appointed a Chief Growth Officer (where do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i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get a job like that!!). 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Codemasters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working on secret Hollywood game and bought Strictly Mad Studios.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new CFO and new share buy offer of £450K.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no news. M&amp;G - sold £1bn closed bonds. Suspended £2,5bn property portfolio.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Merlon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Sold. Next 15 - No news. Prudential - Barclays Capital say has 32.7% upswing potential.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PurpleBricks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share rise of 4%. last 6 months of year to be flat.  RA International - no news. Sirius Minerals - need £3bn . Need £600mn by March 2020. Gov not stepped in. Smith (DS). New contracts with Bloom &amp; Wild. funding a new bags for life study. Sumo - buy rating by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Berinberg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Tristar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commercial presentations made. production in full by new year.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Versarian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looking at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graphene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as clothing. share surge of 5% on new contracts. Vodafone - Virgin media have switched to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Voda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from BT (3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mn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customers). Cost reduction via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OpenRan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platform. new tech venture "wavelength" with Amazon.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Volution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buy ratings as they have small and handled debts.</w:t>
            </w:r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B30BC8" w:rsidRDefault="00B30BC8" w:rsidP="00B30BC8">
            <w:pPr>
              <w:pStyle w:val="ListParagraph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5. Strategy for New Investment</w:t>
            </w:r>
          </w:p>
          <w:p w:rsidR="00B30BC8" w:rsidRDefault="00B30BC8" w:rsidP="00B71F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>New Companies</w:t>
            </w:r>
          </w:p>
          <w:p w:rsidR="00B71F88" w:rsidRPr="00B71F88" w:rsidRDefault="0059577E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FE47F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.1 - </w:t>
            </w:r>
            <w:r w:rsidR="00FE47F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Discussions abound and decided to purchase £1,000 of Trig </w:t>
            </w:r>
            <w:proofErr w:type="spellStart"/>
            <w:r w:rsidR="00FE47FE">
              <w:rPr>
                <w:rFonts w:ascii="Calibri" w:hAnsi="Calibri" w:cs="Calibri"/>
                <w:color w:val="FF0000"/>
                <w:sz w:val="16"/>
                <w:szCs w:val="16"/>
              </w:rPr>
              <w:t>Renewables</w:t>
            </w:r>
            <w:proofErr w:type="spellEnd"/>
            <w:r w:rsidR="00450E27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FE47F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B30BC8" w:rsidRPr="00B71F88" w:rsidRDefault="00B71F88" w:rsidP="00B71F88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2.       </w:t>
            </w:r>
            <w:r w:rsidR="00B30BC8" w:rsidRPr="00B71F88">
              <w:rPr>
                <w:rFonts w:ascii="Calibri" w:hAnsi="Calibri" w:cs="Calibri"/>
                <w:b/>
                <w:sz w:val="16"/>
                <w:szCs w:val="16"/>
              </w:rPr>
              <w:t>Re-investment in Existing Portfolio</w:t>
            </w:r>
          </w:p>
          <w:p w:rsidR="00B71F88" w:rsidRDefault="00B0680F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450E2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6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450E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An additional £500 </w:t>
            </w:r>
            <w:proofErr w:type="spellStart"/>
            <w:r w:rsidR="00450E27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450E27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C850AE" w:rsidRDefault="00AA2E6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Pinned - </w:t>
            </w:r>
            <w:r w:rsid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 w:rsid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59577E" w:rsidRPr="00CE7043">
              <w:rPr>
                <w:rFonts w:ascii="Calibri" w:hAnsi="Calibri" w:cs="Calibri"/>
                <w:sz w:val="16"/>
                <w:szCs w:val="16"/>
              </w:rPr>
              <w:t>Agreed to revert to old style</w:t>
            </w:r>
            <w:r w:rsidR="003F5F33" w:rsidRPr="00CE7043">
              <w:rPr>
                <w:rFonts w:ascii="Calibri" w:hAnsi="Calibri" w:cs="Calibri"/>
                <w:sz w:val="16"/>
                <w:szCs w:val="16"/>
              </w:rPr>
              <w:t>. P</w:t>
            </w:r>
            <w:r w:rsidR="00956AA0" w:rsidRPr="00CE7043">
              <w:rPr>
                <w:rFonts w:ascii="Calibri" w:hAnsi="Calibri" w:cs="Calibri"/>
                <w:sz w:val="16"/>
                <w:szCs w:val="16"/>
              </w:rPr>
              <w:t>robably September 2019 meeting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CE704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Still to re-start</w:t>
            </w:r>
          </w:p>
          <w:p w:rsidR="005D7F7E" w:rsidRPr="00E26377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1D76DB" w:rsidRDefault="00450E27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Woman discovered her kitchen entirely wrapped in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xmas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paper -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inc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fruit and utensils!  fast food customer given receipt with insult typed on "ugly sweater".  Girl caught sneaking boys into her sleepover, so dad took over her social media and posted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vids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of her and proved more popular. meals on wheels unable to deliver food to 70yr old woman, she had been stuck in the bath for 8 days!</w:t>
            </w:r>
            <w:r w:rsidR="00906D4D">
              <w:rPr>
                <w:rFonts w:ascii="Calibri" w:hAnsi="Calibri" w:cs="Calibri"/>
                <w:sz w:val="16"/>
                <w:szCs w:val="16"/>
              </w:rPr>
              <w:t xml:space="preserve"> US company paying $3,000 per month for weed smokers - americanmarijuana.org.  folks near </w:t>
            </w:r>
            <w:proofErr w:type="spellStart"/>
            <w:r w:rsidR="00906D4D">
              <w:rPr>
                <w:rFonts w:ascii="Calibri" w:hAnsi="Calibri" w:cs="Calibri"/>
                <w:sz w:val="16"/>
                <w:szCs w:val="16"/>
              </w:rPr>
              <w:t>Blackhall</w:t>
            </w:r>
            <w:proofErr w:type="spellEnd"/>
            <w:r w:rsidR="00906D4D">
              <w:rPr>
                <w:rFonts w:ascii="Calibri" w:hAnsi="Calibri" w:cs="Calibri"/>
                <w:sz w:val="16"/>
                <w:szCs w:val="16"/>
              </w:rPr>
              <w:t xml:space="preserve"> colliery town in Co Durham keep finding £20 notes in the streets - happened numerous times over the last 20 years.  A Dr Wang operated on a 12yr old who stuck 31 small metal balls in his penis.  Maine man set up trap on front door with shot gun - guess what - yup, killed himself.  18,000 yr old puppy found in Siberian permafrost.  A dog in the US drover round in circles for an hour after putting the automatic in drive.  the 3rd 27yr old K-pop star found dead in Seoul in recent months.  A rare case of </w:t>
            </w:r>
            <w:proofErr w:type="spellStart"/>
            <w:r w:rsidR="00906D4D">
              <w:rPr>
                <w:rFonts w:ascii="Calibri" w:hAnsi="Calibri" w:cs="Calibri"/>
                <w:sz w:val="16"/>
                <w:szCs w:val="16"/>
              </w:rPr>
              <w:t>monkeypox</w:t>
            </w:r>
            <w:proofErr w:type="spellEnd"/>
            <w:r w:rsidR="00906D4D">
              <w:rPr>
                <w:rFonts w:ascii="Calibri" w:hAnsi="Calibri" w:cs="Calibri"/>
                <w:sz w:val="16"/>
                <w:szCs w:val="16"/>
              </w:rPr>
              <w:t xml:space="preserve"> identified in Nigeria entered the UK.  A wild boar discovered £17K of cocaine is a Tuscan forest. </w:t>
            </w:r>
            <w:r w:rsidR="00BC71BB">
              <w:rPr>
                <w:rFonts w:ascii="Calibri" w:hAnsi="Calibri" w:cs="Calibri"/>
                <w:sz w:val="16"/>
                <w:szCs w:val="16"/>
              </w:rPr>
              <w:t xml:space="preserve">the world's thinnest bikini has been shown.  A Canadian bride cancelled her wedding by email, due to guests not paying.  she shared the cancellation on </w:t>
            </w:r>
            <w:proofErr w:type="spellStart"/>
            <w:r w:rsidR="00BC71BB">
              <w:rPr>
                <w:rFonts w:ascii="Calibri" w:hAnsi="Calibri" w:cs="Calibri"/>
                <w:sz w:val="16"/>
                <w:szCs w:val="16"/>
              </w:rPr>
              <w:t>Mumsnet</w:t>
            </w:r>
            <w:proofErr w:type="spellEnd"/>
            <w:r w:rsidR="00BC71BB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proofErr w:type="spellStart"/>
            <w:r w:rsidR="00BC71BB">
              <w:rPr>
                <w:rFonts w:ascii="Calibri" w:hAnsi="Calibri" w:cs="Calibri"/>
                <w:sz w:val="16"/>
                <w:szCs w:val="16"/>
              </w:rPr>
              <w:t>Facebook</w:t>
            </w:r>
            <w:proofErr w:type="spellEnd"/>
            <w:r w:rsidR="00BC71BB">
              <w:rPr>
                <w:rFonts w:ascii="Calibri" w:hAnsi="Calibri" w:cs="Calibri"/>
                <w:sz w:val="16"/>
                <w:szCs w:val="16"/>
              </w:rPr>
              <w:t xml:space="preserve"> - she had tried to crowd-source the wedding at a cost of $1500 CDN (£900) each.  only 8 guests had RSVP'd.</w:t>
            </w:r>
          </w:p>
          <w:p w:rsidR="003F5F33" w:rsidRPr="00EF04B1" w:rsidRDefault="003F5F33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E26377" w:rsidRDefault="00450E27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Pi</w:t>
            </w:r>
            <w:r w:rsidR="00584B7C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nned - 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3F5F33" w:rsidRPr="00CE7043">
              <w:rPr>
                <w:rFonts w:ascii="Calibri" w:hAnsi="Calibri" w:cs="Calibri"/>
                <w:sz w:val="16"/>
                <w:szCs w:val="16"/>
              </w:rPr>
              <w:t>Xmas do - date set 9th November - Sri looking at venues, to accommodate our vegan and vegetarian members.</w:t>
            </w:r>
            <w:r w:rsidR="00CE704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Al's Wedding is the new Xmas do!</w:t>
            </w:r>
          </w:p>
          <w:p w:rsidR="00C32F18" w:rsidRPr="00E26377" w:rsidRDefault="00C32F18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Clu</w:t>
            </w:r>
            <w:r w:rsidR="00450E27">
              <w:rPr>
                <w:rFonts w:ascii="Calibri" w:hAnsi="Calibri" w:cs="Calibri"/>
                <w:color w:val="FF0000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memberships - reminder!</w:t>
            </w:r>
          </w:p>
          <w:p w:rsidR="005D7F7E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8F656D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C32F18">
              <w:rPr>
                <w:rFonts w:ascii="Calibri" w:hAnsi="Calibri" w:cs="Calibri"/>
                <w:sz w:val="16"/>
                <w:szCs w:val="16"/>
              </w:rPr>
              <w:t xml:space="preserve">29th January, 2020 - Al's Wedding doesn't count! </w:t>
            </w:r>
            <w:r>
              <w:rPr>
                <w:rFonts w:ascii="Calibri" w:hAnsi="Calibri" w:cs="Calibri"/>
                <w:sz w:val="16"/>
                <w:szCs w:val="16"/>
              </w:rPr>
              <w:t>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8F656D" w:rsidRDefault="008F656D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72441" w:rsidRDefault="00160B90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922A7C" w:rsidRDefault="00922A7C" w:rsidP="00922A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"</w:t>
            </w:r>
            <w:r w:rsidRPr="00922A7C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the carrots are cooked</w:t>
            </w:r>
            <w:r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" - </w:t>
            </w:r>
            <w:r w:rsidRPr="00922A7C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means that the outcome of the situation cannot be changed!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Pr="001A2FE1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7A0D8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E2637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50E27" w:rsidRDefault="00450E2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50E27" w:rsidRDefault="00450E2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50E27" w:rsidRDefault="00450E2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FE47F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450E2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364469" w:rsidRDefault="00364469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50E27" w:rsidRPr="001A2FE1" w:rsidRDefault="00450E27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</w:tc>
      </w:tr>
    </w:tbl>
    <w:p w:rsidR="0099058C" w:rsidRDefault="0099058C"/>
    <w:sectPr w:rsidR="0099058C" w:rsidSect="004F7423">
      <w:pgSz w:w="16838" w:h="11906" w:orient="landscape"/>
      <w:pgMar w:top="288" w:right="576" w:bottom="28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C2"/>
    <w:multiLevelType w:val="hybridMultilevel"/>
    <w:tmpl w:val="DC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052"/>
    <w:multiLevelType w:val="multilevel"/>
    <w:tmpl w:val="845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436D"/>
    <w:multiLevelType w:val="multilevel"/>
    <w:tmpl w:val="B8C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95AD2"/>
    <w:multiLevelType w:val="hybridMultilevel"/>
    <w:tmpl w:val="E9DC2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753"/>
    <w:multiLevelType w:val="hybridMultilevel"/>
    <w:tmpl w:val="C5E8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1579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03F46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14A6C"/>
    <w:rsid w:val="00026903"/>
    <w:rsid w:val="000458E8"/>
    <w:rsid w:val="00051D20"/>
    <w:rsid w:val="00056849"/>
    <w:rsid w:val="00064F5A"/>
    <w:rsid w:val="000818F8"/>
    <w:rsid w:val="000977DD"/>
    <w:rsid w:val="000A6F59"/>
    <w:rsid w:val="000A7DF5"/>
    <w:rsid w:val="000B4F1B"/>
    <w:rsid w:val="000C2DCE"/>
    <w:rsid w:val="000C7C07"/>
    <w:rsid w:val="001362DE"/>
    <w:rsid w:val="00136673"/>
    <w:rsid w:val="00140DC8"/>
    <w:rsid w:val="001444DD"/>
    <w:rsid w:val="0015057B"/>
    <w:rsid w:val="00160B90"/>
    <w:rsid w:val="001623A2"/>
    <w:rsid w:val="00175BD8"/>
    <w:rsid w:val="00187B73"/>
    <w:rsid w:val="0019125F"/>
    <w:rsid w:val="0019432D"/>
    <w:rsid w:val="0019433F"/>
    <w:rsid w:val="00196DE7"/>
    <w:rsid w:val="001C4525"/>
    <w:rsid w:val="001D19CE"/>
    <w:rsid w:val="001D2915"/>
    <w:rsid w:val="001D3D4A"/>
    <w:rsid w:val="001D76DB"/>
    <w:rsid w:val="001F3825"/>
    <w:rsid w:val="002049CE"/>
    <w:rsid w:val="0020591B"/>
    <w:rsid w:val="00215552"/>
    <w:rsid w:val="0022198D"/>
    <w:rsid w:val="0022484A"/>
    <w:rsid w:val="00225234"/>
    <w:rsid w:val="00236A8A"/>
    <w:rsid w:val="0024501E"/>
    <w:rsid w:val="00252041"/>
    <w:rsid w:val="00255C40"/>
    <w:rsid w:val="00272DCC"/>
    <w:rsid w:val="00284AE5"/>
    <w:rsid w:val="00287C44"/>
    <w:rsid w:val="00297092"/>
    <w:rsid w:val="00297ED3"/>
    <w:rsid w:val="002A6831"/>
    <w:rsid w:val="002B203C"/>
    <w:rsid w:val="002C2C2A"/>
    <w:rsid w:val="002C3CE8"/>
    <w:rsid w:val="002F581D"/>
    <w:rsid w:val="002F6C02"/>
    <w:rsid w:val="002F7B0F"/>
    <w:rsid w:val="0030258D"/>
    <w:rsid w:val="00341F3F"/>
    <w:rsid w:val="003509EA"/>
    <w:rsid w:val="00362728"/>
    <w:rsid w:val="00364469"/>
    <w:rsid w:val="00366D32"/>
    <w:rsid w:val="00377AC3"/>
    <w:rsid w:val="0038432F"/>
    <w:rsid w:val="00393F27"/>
    <w:rsid w:val="003B188D"/>
    <w:rsid w:val="003D03E2"/>
    <w:rsid w:val="003E0486"/>
    <w:rsid w:val="003E43DF"/>
    <w:rsid w:val="003F20C7"/>
    <w:rsid w:val="003F3FBC"/>
    <w:rsid w:val="003F5F33"/>
    <w:rsid w:val="0040230E"/>
    <w:rsid w:val="00404B26"/>
    <w:rsid w:val="004100DC"/>
    <w:rsid w:val="004152D4"/>
    <w:rsid w:val="00447372"/>
    <w:rsid w:val="00450E27"/>
    <w:rsid w:val="00456154"/>
    <w:rsid w:val="004665A6"/>
    <w:rsid w:val="0048543B"/>
    <w:rsid w:val="0049087D"/>
    <w:rsid w:val="00492D87"/>
    <w:rsid w:val="004B0B5A"/>
    <w:rsid w:val="004B7FF9"/>
    <w:rsid w:val="004F7423"/>
    <w:rsid w:val="0053311C"/>
    <w:rsid w:val="00554CC7"/>
    <w:rsid w:val="00556610"/>
    <w:rsid w:val="00561EAA"/>
    <w:rsid w:val="00571777"/>
    <w:rsid w:val="00572441"/>
    <w:rsid w:val="00584B7C"/>
    <w:rsid w:val="00584C00"/>
    <w:rsid w:val="0059577E"/>
    <w:rsid w:val="005B3680"/>
    <w:rsid w:val="005B5DA1"/>
    <w:rsid w:val="005C3999"/>
    <w:rsid w:val="005D7F7E"/>
    <w:rsid w:val="005E1EED"/>
    <w:rsid w:val="005F7202"/>
    <w:rsid w:val="0060065E"/>
    <w:rsid w:val="00600EEB"/>
    <w:rsid w:val="006030E4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1AD5"/>
    <w:rsid w:val="006A42CA"/>
    <w:rsid w:val="006A6BA6"/>
    <w:rsid w:val="006B1B46"/>
    <w:rsid w:val="007324FA"/>
    <w:rsid w:val="00743B26"/>
    <w:rsid w:val="007512BB"/>
    <w:rsid w:val="00764928"/>
    <w:rsid w:val="00773534"/>
    <w:rsid w:val="00776CF8"/>
    <w:rsid w:val="0078085D"/>
    <w:rsid w:val="007A0D8D"/>
    <w:rsid w:val="007B028F"/>
    <w:rsid w:val="007B3D4E"/>
    <w:rsid w:val="007B436F"/>
    <w:rsid w:val="007C5D6B"/>
    <w:rsid w:val="007D354B"/>
    <w:rsid w:val="007D454C"/>
    <w:rsid w:val="007E2950"/>
    <w:rsid w:val="007E31DF"/>
    <w:rsid w:val="007F77AE"/>
    <w:rsid w:val="00810BB4"/>
    <w:rsid w:val="00812ED5"/>
    <w:rsid w:val="0081748F"/>
    <w:rsid w:val="00820440"/>
    <w:rsid w:val="008432BC"/>
    <w:rsid w:val="008521DE"/>
    <w:rsid w:val="00873BCA"/>
    <w:rsid w:val="00895730"/>
    <w:rsid w:val="00895872"/>
    <w:rsid w:val="008A32F4"/>
    <w:rsid w:val="008A5169"/>
    <w:rsid w:val="008B21B4"/>
    <w:rsid w:val="008F2014"/>
    <w:rsid w:val="008F656D"/>
    <w:rsid w:val="008F7D88"/>
    <w:rsid w:val="00902E46"/>
    <w:rsid w:val="00906D4D"/>
    <w:rsid w:val="00922A7C"/>
    <w:rsid w:val="009271C0"/>
    <w:rsid w:val="00956AA0"/>
    <w:rsid w:val="00963E33"/>
    <w:rsid w:val="0097355B"/>
    <w:rsid w:val="00974B70"/>
    <w:rsid w:val="00981C2B"/>
    <w:rsid w:val="009828AF"/>
    <w:rsid w:val="0098322A"/>
    <w:rsid w:val="009852FA"/>
    <w:rsid w:val="00985A1A"/>
    <w:rsid w:val="0099058C"/>
    <w:rsid w:val="0099536B"/>
    <w:rsid w:val="0099786A"/>
    <w:rsid w:val="009D467A"/>
    <w:rsid w:val="009D799B"/>
    <w:rsid w:val="009F6A6B"/>
    <w:rsid w:val="009F7EB4"/>
    <w:rsid w:val="00A13910"/>
    <w:rsid w:val="00A15D12"/>
    <w:rsid w:val="00A251CA"/>
    <w:rsid w:val="00A338F3"/>
    <w:rsid w:val="00A37C56"/>
    <w:rsid w:val="00A43729"/>
    <w:rsid w:val="00A52C1A"/>
    <w:rsid w:val="00A651DC"/>
    <w:rsid w:val="00A71F85"/>
    <w:rsid w:val="00A8290D"/>
    <w:rsid w:val="00A856FE"/>
    <w:rsid w:val="00A96BF2"/>
    <w:rsid w:val="00AA2E66"/>
    <w:rsid w:val="00AA347E"/>
    <w:rsid w:val="00AB18D9"/>
    <w:rsid w:val="00AB193F"/>
    <w:rsid w:val="00AB73D4"/>
    <w:rsid w:val="00AC00CB"/>
    <w:rsid w:val="00AC7289"/>
    <w:rsid w:val="00B03D76"/>
    <w:rsid w:val="00B0680F"/>
    <w:rsid w:val="00B103D2"/>
    <w:rsid w:val="00B10A52"/>
    <w:rsid w:val="00B30BC8"/>
    <w:rsid w:val="00B4307A"/>
    <w:rsid w:val="00B61429"/>
    <w:rsid w:val="00B62118"/>
    <w:rsid w:val="00B71F88"/>
    <w:rsid w:val="00B85472"/>
    <w:rsid w:val="00B91291"/>
    <w:rsid w:val="00B94D12"/>
    <w:rsid w:val="00B94E39"/>
    <w:rsid w:val="00B9662E"/>
    <w:rsid w:val="00BA212C"/>
    <w:rsid w:val="00BA5294"/>
    <w:rsid w:val="00BA6EA6"/>
    <w:rsid w:val="00BC71BB"/>
    <w:rsid w:val="00BD2C42"/>
    <w:rsid w:val="00BF5D81"/>
    <w:rsid w:val="00C2458C"/>
    <w:rsid w:val="00C32F18"/>
    <w:rsid w:val="00C461D3"/>
    <w:rsid w:val="00C54163"/>
    <w:rsid w:val="00C65C6C"/>
    <w:rsid w:val="00C730CF"/>
    <w:rsid w:val="00C755EA"/>
    <w:rsid w:val="00C770CC"/>
    <w:rsid w:val="00C81164"/>
    <w:rsid w:val="00C83D4C"/>
    <w:rsid w:val="00C850AE"/>
    <w:rsid w:val="00C95F8B"/>
    <w:rsid w:val="00CB08CD"/>
    <w:rsid w:val="00CE7043"/>
    <w:rsid w:val="00CF649D"/>
    <w:rsid w:val="00D10A07"/>
    <w:rsid w:val="00D26536"/>
    <w:rsid w:val="00D32066"/>
    <w:rsid w:val="00D37B97"/>
    <w:rsid w:val="00D610D5"/>
    <w:rsid w:val="00D742B4"/>
    <w:rsid w:val="00D764CD"/>
    <w:rsid w:val="00D80096"/>
    <w:rsid w:val="00D90241"/>
    <w:rsid w:val="00DB275E"/>
    <w:rsid w:val="00DE049A"/>
    <w:rsid w:val="00DF6A73"/>
    <w:rsid w:val="00E039FB"/>
    <w:rsid w:val="00E20BD3"/>
    <w:rsid w:val="00E26377"/>
    <w:rsid w:val="00E425AB"/>
    <w:rsid w:val="00E6599D"/>
    <w:rsid w:val="00E72069"/>
    <w:rsid w:val="00E8032D"/>
    <w:rsid w:val="00EA3EDB"/>
    <w:rsid w:val="00EB75C2"/>
    <w:rsid w:val="00EC0521"/>
    <w:rsid w:val="00EC76F4"/>
    <w:rsid w:val="00ED0910"/>
    <w:rsid w:val="00ED16BE"/>
    <w:rsid w:val="00EE6FA6"/>
    <w:rsid w:val="00EF04B1"/>
    <w:rsid w:val="00EF1A84"/>
    <w:rsid w:val="00F22467"/>
    <w:rsid w:val="00F35795"/>
    <w:rsid w:val="00F54B90"/>
    <w:rsid w:val="00F6134B"/>
    <w:rsid w:val="00F67D20"/>
    <w:rsid w:val="00F754AF"/>
    <w:rsid w:val="00F82692"/>
    <w:rsid w:val="00F8576C"/>
    <w:rsid w:val="00FA0B1A"/>
    <w:rsid w:val="00FA157F"/>
    <w:rsid w:val="00FB4DFF"/>
    <w:rsid w:val="00FB648F"/>
    <w:rsid w:val="00FE2380"/>
    <w:rsid w:val="00FE47FE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portfolio_201912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Pr>
        <a:bodyPr/>
        <a:lstStyle/>
        <a:p>
          <a:pPr>
            <a:defRPr sz="7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Sheet1!$D$1:$AC$1</c:f>
              <c:strCache>
                <c:ptCount val="26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  <c:pt idx="24">
                  <c:v>Mtg25</c:v>
                </c:pt>
                <c:pt idx="25">
                  <c:v>Mtg26</c:v>
                </c:pt>
              </c:strCache>
            </c:strRef>
          </c:cat>
          <c:val>
            <c:numRef>
              <c:f>Sheet1!$D$2:$AC$2</c:f>
              <c:numCache>
                <c:formatCode>0.00</c:formatCode>
                <c:ptCount val="26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>
                  <c:v>34.870000000000005</c:v>
                </c:pt>
                <c:pt idx="15">
                  <c:v>34.190000000000005</c:v>
                </c:pt>
                <c:pt idx="16">
                  <c:v>30.650000000000002</c:v>
                </c:pt>
                <c:pt idx="17">
                  <c:v>30.45</c:v>
                </c:pt>
                <c:pt idx="18">
                  <c:v>31.05</c:v>
                </c:pt>
                <c:pt idx="19">
                  <c:v>31.21</c:v>
                </c:pt>
                <c:pt idx="20">
                  <c:v>32.260000000000005</c:v>
                </c:pt>
                <c:pt idx="21">
                  <c:v>31.810000000000002</c:v>
                </c:pt>
                <c:pt idx="22">
                  <c:v>32.44</c:v>
                </c:pt>
                <c:pt idx="23">
                  <c:v>32.74</c:v>
                </c:pt>
                <c:pt idx="24">
                  <c:v>31.759999999999998</c:v>
                </c:pt>
                <c:pt idx="25">
                  <c:v>32.46</c:v>
                </c:pt>
              </c:numCache>
            </c:numRef>
          </c:val>
        </c:ser>
        <c:axId val="122210560"/>
        <c:axId val="132067712"/>
      </c:barChart>
      <c:catAx>
        <c:axId val="12221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132067712"/>
        <c:crosses val="autoZero"/>
        <c:auto val="1"/>
        <c:lblAlgn val="ctr"/>
        <c:lblOffset val="100"/>
      </c:catAx>
      <c:valAx>
        <c:axId val="132067712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1222105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Pr>
        <a:bodyPr/>
        <a:lstStyle/>
        <a:p>
          <a:pPr>
            <a:defRPr sz="7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Sheet1!$D$5:$AC$5</c:f>
              <c:strCache>
                <c:ptCount val="26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  <c:pt idx="24">
                  <c:v>Mtg25</c:v>
                </c:pt>
                <c:pt idx="25">
                  <c:v>Mtg26</c:v>
                </c:pt>
              </c:strCache>
            </c:strRef>
          </c:cat>
          <c:val>
            <c:numRef>
              <c:f>Sheet1!$D$6:$AC$6</c:f>
              <c:numCache>
                <c:formatCode>0.00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  <c:pt idx="18">
                  <c:v>3.51</c:v>
                </c:pt>
                <c:pt idx="19">
                  <c:v>4.0199999999999996</c:v>
                </c:pt>
                <c:pt idx="20">
                  <c:v>7.55</c:v>
                </c:pt>
                <c:pt idx="21">
                  <c:v>6.04</c:v>
                </c:pt>
                <c:pt idx="22">
                  <c:v>8.120000000000001</c:v>
                </c:pt>
                <c:pt idx="23">
                  <c:v>9.15</c:v>
                </c:pt>
                <c:pt idx="24">
                  <c:v>5.87</c:v>
                </c:pt>
                <c:pt idx="25">
                  <c:v>8.2000000000000011</c:v>
                </c:pt>
              </c:numCache>
            </c:numRef>
          </c:val>
        </c:ser>
        <c:axId val="132680704"/>
        <c:axId val="132696704"/>
      </c:barChart>
      <c:catAx>
        <c:axId val="132680704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132696704"/>
        <c:crosses val="autoZero"/>
        <c:auto val="1"/>
        <c:lblAlgn val="ctr"/>
        <c:lblOffset val="100"/>
      </c:catAx>
      <c:valAx>
        <c:axId val="13269670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1326807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5643832020997386"/>
                  <c:y val="-7.4052201808107426E-2"/>
                </c:manualLayout>
              </c:layout>
              <c:showPercent val="1"/>
            </c:dLbl>
            <c:dLbl>
              <c:idx val="2"/>
              <c:layout>
                <c:manualLayout>
                  <c:x val="0.15749956255468081"/>
                  <c:y val="6.2493438320210037E-2"/>
                </c:manualLayout>
              </c:layout>
              <c:showPercent val="1"/>
            </c:dLbl>
            <c:txPr>
              <a:bodyPr/>
              <a:lstStyle/>
              <a:p>
                <a:pPr>
                  <a:defRPr sz="750"/>
                </a:pPr>
                <a:endParaRPr lang="en-US"/>
              </a:p>
            </c:txPr>
            <c:showPercent val="1"/>
            <c:showLeaderLines val="1"/>
          </c:dLbls>
          <c:cat>
            <c:multiLvlStrRef>
              <c:f>'Portfolio 20110309'!$O$18:$P$20</c:f>
              <c:multiLvlStrCache>
                <c:ptCount val="3"/>
                <c:lvl>
                  <c:pt idx="0">
                    <c:v>Cash</c:v>
                  </c:pt>
                  <c:pt idx="1">
                    <c:v>Crypto</c:v>
                  </c:pt>
                  <c:pt idx="2">
                    <c:v>Shares Value</c:v>
                  </c:pt>
                </c:lvl>
                <c:lvl>
                  <c:pt idx="0">
                    <c:v>Holdings</c:v>
                  </c:pt>
                </c:lvl>
              </c:multiLvlStrCache>
            </c:multiLvlStrRef>
          </c:cat>
          <c:val>
            <c:numRef>
              <c:f>'Portfolio 20110309'!$Q$18:$Q$20</c:f>
              <c:numCache>
                <c:formatCode>General</c:formatCode>
                <c:ptCount val="3"/>
                <c:pt idx="0">
                  <c:v>11314.09</c:v>
                </c:pt>
                <c:pt idx="1">
                  <c:v>310.07</c:v>
                </c:pt>
                <c:pt idx="2">
                  <c:v>8111.52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750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8132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13</cp:revision>
  <cp:lastPrinted>2018-10-21T16:12:00Z</cp:lastPrinted>
  <dcterms:created xsi:type="dcterms:W3CDTF">2020-01-23T18:27:00Z</dcterms:created>
  <dcterms:modified xsi:type="dcterms:W3CDTF">2020-01-25T19:23:00Z</dcterms:modified>
</cp:coreProperties>
</file>