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0" w:rsidRPr="001A2FE1" w:rsidRDefault="00160B90" w:rsidP="00160B90">
      <w:pPr>
        <w:jc w:val="center"/>
        <w:rPr>
          <w:rFonts w:ascii="Calibri" w:hAnsi="Calibri" w:cs="Calibri"/>
          <w:b/>
          <w:sz w:val="16"/>
          <w:szCs w:val="16"/>
        </w:rPr>
      </w:pPr>
      <w:r w:rsidRPr="001A2FE1">
        <w:rPr>
          <w:rFonts w:ascii="Calibri" w:hAnsi="Calibri" w:cs="Calibri"/>
          <w:b/>
          <w:sz w:val="16"/>
          <w:szCs w:val="16"/>
        </w:rPr>
        <w:t xml:space="preserve">The </w:t>
      </w:r>
      <w:proofErr w:type="spellStart"/>
      <w:r w:rsidRPr="001A2FE1">
        <w:rPr>
          <w:rFonts w:ascii="Calibri" w:hAnsi="Calibri" w:cs="Calibri"/>
          <w:b/>
          <w:sz w:val="16"/>
          <w:szCs w:val="16"/>
        </w:rPr>
        <w:t>Strangemen</w:t>
      </w:r>
      <w:proofErr w:type="spellEnd"/>
      <w:r w:rsidRPr="001A2FE1">
        <w:rPr>
          <w:rFonts w:ascii="Calibri" w:hAnsi="Calibri" w:cs="Calibri"/>
          <w:b/>
          <w:sz w:val="16"/>
          <w:szCs w:val="16"/>
        </w:rPr>
        <w:t xml:space="preserve"> IV Investment Club (HBHXX74T)</w:t>
      </w:r>
    </w:p>
    <w:p w:rsidR="009F7EB4" w:rsidRDefault="00160B90" w:rsidP="00A338F3">
      <w:pPr>
        <w:jc w:val="center"/>
        <w:rPr>
          <w:rFonts w:ascii="Calibri" w:hAnsi="Calibri" w:cs="Calibri"/>
          <w:sz w:val="16"/>
          <w:szCs w:val="16"/>
        </w:rPr>
      </w:pPr>
      <w:r w:rsidRPr="001A2FE1">
        <w:rPr>
          <w:rFonts w:ascii="Calibri" w:hAnsi="Calibri" w:cs="Calibri"/>
          <w:sz w:val="16"/>
          <w:szCs w:val="16"/>
        </w:rPr>
        <w:t xml:space="preserve">Minutes of the </w:t>
      </w:r>
      <w:r w:rsidR="008432BC">
        <w:rPr>
          <w:rFonts w:ascii="Calibri" w:hAnsi="Calibri" w:cs="Calibri"/>
          <w:sz w:val="16"/>
          <w:szCs w:val="16"/>
        </w:rPr>
        <w:t>eighteenth</w:t>
      </w:r>
      <w:r w:rsidRPr="001A2FE1">
        <w:rPr>
          <w:rFonts w:ascii="Calibri" w:hAnsi="Calibri" w:cs="Calibri"/>
          <w:sz w:val="16"/>
          <w:szCs w:val="16"/>
        </w:rPr>
        <w:t xml:space="preserve"> meeting - Held Wednesday </w:t>
      </w:r>
      <w:r w:rsidR="000818F8">
        <w:rPr>
          <w:rFonts w:ascii="Calibri" w:hAnsi="Calibri" w:cs="Calibri"/>
          <w:sz w:val="16"/>
          <w:szCs w:val="16"/>
        </w:rPr>
        <w:t>2</w:t>
      </w:r>
      <w:r w:rsidR="008432BC">
        <w:rPr>
          <w:rFonts w:ascii="Calibri" w:hAnsi="Calibri" w:cs="Calibri"/>
          <w:sz w:val="16"/>
          <w:szCs w:val="16"/>
        </w:rPr>
        <w:t>8th</w:t>
      </w:r>
      <w:r w:rsidR="00902E46">
        <w:rPr>
          <w:rFonts w:ascii="Calibri" w:hAnsi="Calibri" w:cs="Calibri"/>
          <w:sz w:val="16"/>
          <w:szCs w:val="16"/>
        </w:rPr>
        <w:t xml:space="preserve"> </w:t>
      </w:r>
      <w:r w:rsidR="008432BC">
        <w:rPr>
          <w:rFonts w:ascii="Calibri" w:hAnsi="Calibri" w:cs="Calibri"/>
          <w:sz w:val="16"/>
          <w:szCs w:val="16"/>
        </w:rPr>
        <w:t>November</w:t>
      </w:r>
      <w:r w:rsidRPr="001A2FE1">
        <w:rPr>
          <w:rFonts w:ascii="Calibri" w:hAnsi="Calibri" w:cs="Calibri"/>
          <w:sz w:val="16"/>
          <w:szCs w:val="16"/>
        </w:rPr>
        <w:t>, 201</w:t>
      </w:r>
      <w:r w:rsidR="00A37C56">
        <w:rPr>
          <w:rFonts w:ascii="Calibri" w:hAnsi="Calibri" w:cs="Calibri"/>
          <w:sz w:val="16"/>
          <w:szCs w:val="16"/>
        </w:rPr>
        <w:t>8</w:t>
      </w:r>
      <w:r w:rsidRPr="001A2FE1">
        <w:rPr>
          <w:rFonts w:ascii="Calibri" w:hAnsi="Calibri" w:cs="Calibri"/>
          <w:sz w:val="16"/>
          <w:szCs w:val="16"/>
        </w:rPr>
        <w:t xml:space="preserve"> at The Mill Street Club, Mill Street, Leek. </w:t>
      </w:r>
    </w:p>
    <w:p w:rsidR="00377AC3" w:rsidRPr="001A2FE1" w:rsidRDefault="00196DE7" w:rsidP="00A338F3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704485" cy="1803390"/>
            <wp:effectExtent l="19050" t="0" r="0" b="0"/>
            <wp:docPr id="1" name="Picture 0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530" cy="180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270925" cy="1816740"/>
            <wp:effectExtent l="19050" t="0" r="0" b="0"/>
            <wp:docPr id="2" name="Picture 1" descr="126513,xcitefun-04-le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513,xcitefun-04-lett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60" cy="18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274883" cy="1819837"/>
            <wp:effectExtent l="19050" t="0" r="0" b="0"/>
            <wp:docPr id="3" name="Picture 2" descr="135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8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528" cy="181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78"/>
        <w:gridCol w:w="781"/>
      </w:tblGrid>
      <w:tr w:rsidR="00160B90" w:rsidRPr="001A2FE1" w:rsidTr="0099058C">
        <w:tc>
          <w:tcPr>
            <w:tcW w:w="15559" w:type="dxa"/>
            <w:gridSpan w:val="2"/>
          </w:tcPr>
          <w:p w:rsidR="00160B90" w:rsidRPr="00377AC3" w:rsidRDefault="00160B90" w:rsidP="0099058C">
            <w:pPr>
              <w:tabs>
                <w:tab w:val="left" w:pos="5603"/>
              </w:tabs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>Attendees:</w:t>
            </w:r>
            <w:r w:rsidRPr="00377AC3"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812ED5" w:rsidRDefault="00160B90" w:rsidP="0099058C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812ED5">
              <w:rPr>
                <w:rFonts w:ascii="Calibri" w:hAnsi="Calibri" w:cs="Calibri"/>
                <w:sz w:val="16"/>
                <w:szCs w:val="16"/>
              </w:rPr>
              <w:t xml:space="preserve">James </w:t>
            </w:r>
            <w:r w:rsidR="00E6599D">
              <w:rPr>
                <w:rFonts w:ascii="Calibri" w:hAnsi="Calibri" w:cs="Calibri"/>
                <w:sz w:val="16"/>
                <w:szCs w:val="16"/>
              </w:rPr>
              <w:t xml:space="preserve">Taylor (JT) </w:t>
            </w:r>
            <w:r w:rsidR="001D2915" w:rsidRPr="00812E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12ED5">
              <w:rPr>
                <w:rFonts w:ascii="Calibri" w:hAnsi="Calibri" w:cs="Calibri"/>
                <w:sz w:val="16"/>
                <w:szCs w:val="16"/>
              </w:rPr>
              <w:t>,</w:t>
            </w:r>
            <w:r w:rsidR="00B10A52">
              <w:rPr>
                <w:rFonts w:ascii="Calibri" w:hAnsi="Calibri" w:cs="Calibri"/>
                <w:sz w:val="16"/>
                <w:szCs w:val="16"/>
              </w:rPr>
              <w:t>Alan Whitmore (AJW)</w:t>
            </w:r>
            <w:r w:rsidR="00812ED5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681FDF">
              <w:rPr>
                <w:rFonts w:ascii="Calibri" w:hAnsi="Calibri" w:cs="Calibri"/>
                <w:sz w:val="16"/>
                <w:szCs w:val="16"/>
              </w:rPr>
              <w:t>Neil C Pickford (NCP),</w:t>
            </w:r>
            <w:r w:rsidR="001D2915" w:rsidRPr="00812E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432BC">
              <w:rPr>
                <w:rFonts w:ascii="Calibri" w:hAnsi="Calibri" w:cs="Calibri"/>
                <w:sz w:val="16"/>
                <w:szCs w:val="16"/>
              </w:rPr>
              <w:t xml:space="preserve">Dave </w:t>
            </w:r>
            <w:proofErr w:type="spellStart"/>
            <w:r w:rsidR="008432BC">
              <w:rPr>
                <w:rFonts w:ascii="Calibri" w:hAnsi="Calibri" w:cs="Calibri"/>
                <w:sz w:val="16"/>
                <w:szCs w:val="16"/>
              </w:rPr>
              <w:t>Swarbrook</w:t>
            </w:r>
            <w:proofErr w:type="spellEnd"/>
            <w:r w:rsidR="008432BC">
              <w:rPr>
                <w:rFonts w:ascii="Calibri" w:hAnsi="Calibri" w:cs="Calibri"/>
                <w:sz w:val="16"/>
                <w:szCs w:val="16"/>
              </w:rPr>
              <w:t xml:space="preserve"> (DS), </w:t>
            </w:r>
            <w:r w:rsidR="00C83D4C" w:rsidRPr="00812ED5">
              <w:rPr>
                <w:rFonts w:ascii="Calibri" w:hAnsi="Calibri" w:cs="Calibri"/>
                <w:sz w:val="16"/>
                <w:szCs w:val="16"/>
              </w:rPr>
              <w:t xml:space="preserve">David </w:t>
            </w:r>
            <w:proofErr w:type="spellStart"/>
            <w:r w:rsidR="00C83D4C" w:rsidRPr="00812ED5">
              <w:rPr>
                <w:rFonts w:ascii="Calibri" w:hAnsi="Calibri" w:cs="Calibri"/>
                <w:sz w:val="16"/>
                <w:szCs w:val="16"/>
              </w:rPr>
              <w:t>McNeaney</w:t>
            </w:r>
            <w:proofErr w:type="spellEnd"/>
            <w:r w:rsidR="00C83D4C" w:rsidRPr="00812ED5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="00C83D4C" w:rsidRPr="00812ED5">
              <w:rPr>
                <w:rFonts w:ascii="Calibri" w:hAnsi="Calibri" w:cs="Calibri"/>
                <w:sz w:val="16"/>
                <w:szCs w:val="16"/>
              </w:rPr>
              <w:t>DMcN</w:t>
            </w:r>
            <w:proofErr w:type="spellEnd"/>
            <w:r w:rsidR="00C83D4C" w:rsidRPr="00812ED5">
              <w:rPr>
                <w:rFonts w:ascii="Calibri" w:hAnsi="Calibri" w:cs="Calibri"/>
                <w:sz w:val="16"/>
                <w:szCs w:val="16"/>
              </w:rPr>
              <w:t>)</w:t>
            </w:r>
            <w:r w:rsidR="008432BC">
              <w:rPr>
                <w:rFonts w:ascii="Calibri" w:hAnsi="Calibri" w:cs="Calibri"/>
                <w:sz w:val="16"/>
                <w:szCs w:val="16"/>
              </w:rPr>
              <w:t>,</w:t>
            </w:r>
            <w:r w:rsidR="00E659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D2915" w:rsidRPr="00812E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Sridar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Madadi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 xml:space="preserve"> (SM)</w:t>
            </w:r>
            <w:r w:rsidR="008432BC">
              <w:rPr>
                <w:rFonts w:ascii="Calibri" w:hAnsi="Calibri" w:cs="Calibri"/>
                <w:sz w:val="16"/>
                <w:szCs w:val="16"/>
              </w:rPr>
              <w:t>, Dea</w:t>
            </w:r>
            <w:r w:rsidR="00D80096">
              <w:rPr>
                <w:rFonts w:ascii="Calibri" w:hAnsi="Calibri" w:cs="Calibri"/>
                <w:sz w:val="16"/>
                <w:szCs w:val="16"/>
              </w:rPr>
              <w:t xml:space="preserve">n Goodwin (DG) </w:t>
            </w:r>
            <w:r w:rsidR="008432BC">
              <w:rPr>
                <w:rFonts w:ascii="Calibri" w:hAnsi="Calibri" w:cs="Calibri"/>
                <w:sz w:val="16"/>
                <w:szCs w:val="16"/>
              </w:rPr>
              <w:t>and tonight's "</w:t>
            </w:r>
            <w:r w:rsidR="00D80096">
              <w:rPr>
                <w:rFonts w:ascii="Calibri" w:hAnsi="Calibri" w:cs="Calibri"/>
                <w:sz w:val="16"/>
                <w:szCs w:val="16"/>
              </w:rPr>
              <w:t>Guest Star</w:t>
            </w:r>
            <w:r w:rsidR="008432BC">
              <w:rPr>
                <w:rFonts w:ascii="Calibri" w:hAnsi="Calibri" w:cs="Calibri"/>
                <w:sz w:val="16"/>
                <w:szCs w:val="16"/>
              </w:rPr>
              <w:t>"</w:t>
            </w:r>
            <w:r w:rsidR="00D80096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="008432BC">
              <w:rPr>
                <w:rFonts w:ascii="Calibri" w:hAnsi="Calibri" w:cs="Calibri"/>
                <w:sz w:val="16"/>
                <w:szCs w:val="16"/>
              </w:rPr>
              <w:t xml:space="preserve">Steve </w:t>
            </w:r>
            <w:proofErr w:type="spellStart"/>
            <w:r w:rsidR="008432BC">
              <w:rPr>
                <w:rFonts w:ascii="Calibri" w:hAnsi="Calibri" w:cs="Calibri"/>
                <w:sz w:val="16"/>
                <w:szCs w:val="16"/>
              </w:rPr>
              <w:t>Smudger</w:t>
            </w:r>
            <w:proofErr w:type="spellEnd"/>
            <w:r w:rsidR="008432BC">
              <w:rPr>
                <w:rFonts w:ascii="Calibri" w:hAnsi="Calibri" w:cs="Calibri"/>
                <w:sz w:val="16"/>
                <w:szCs w:val="16"/>
              </w:rPr>
              <w:t xml:space="preserve"> Smith!</w:t>
            </w:r>
          </w:p>
          <w:p w:rsidR="00812ED5" w:rsidRDefault="00160B90" w:rsidP="00812ED5">
            <w:pPr>
              <w:rPr>
                <w:rFonts w:ascii="Calibri" w:hAnsi="Calibri" w:cs="Calibri"/>
                <w:sz w:val="16"/>
                <w:szCs w:val="16"/>
              </w:rPr>
            </w:pPr>
            <w:r w:rsidRPr="00812ED5">
              <w:rPr>
                <w:rFonts w:ascii="Calibri" w:hAnsi="Calibri" w:cs="Calibri"/>
                <w:sz w:val="16"/>
                <w:szCs w:val="16"/>
              </w:rPr>
              <w:t xml:space="preserve">Apologies: </w:t>
            </w:r>
          </w:p>
          <w:p w:rsidR="00B10A52" w:rsidRDefault="009F7EB4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Mike Helm (MH) - </w:t>
            </w:r>
            <w:r w:rsidR="008432BC">
              <w:rPr>
                <w:rFonts w:ascii="Calibri" w:hAnsi="Calibri" w:cs="Calibri"/>
                <w:sz w:val="16"/>
                <w:szCs w:val="16"/>
              </w:rPr>
              <w:t>he will bloom again</w:t>
            </w:r>
          </w:p>
          <w:p w:rsidR="009F7EB4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 xml:space="preserve">Gareth </w:t>
            </w:r>
            <w:proofErr w:type="spellStart"/>
            <w:r w:rsidRPr="00377AC3">
              <w:rPr>
                <w:rFonts w:ascii="Calibri" w:hAnsi="Calibri" w:cs="Calibri"/>
                <w:sz w:val="16"/>
                <w:szCs w:val="16"/>
              </w:rPr>
              <w:t>Ekin</w:t>
            </w:r>
            <w:proofErr w:type="spellEnd"/>
            <w:r w:rsidRPr="00377AC3">
              <w:rPr>
                <w:rFonts w:ascii="Calibri" w:hAnsi="Calibri" w:cs="Calibri"/>
                <w:sz w:val="16"/>
                <w:szCs w:val="16"/>
              </w:rPr>
              <w:t xml:space="preserve"> (GE) - </w:t>
            </w:r>
            <w:r w:rsidR="008432BC">
              <w:rPr>
                <w:rFonts w:ascii="Calibri" w:hAnsi="Calibri" w:cs="Calibri"/>
                <w:sz w:val="16"/>
                <w:szCs w:val="16"/>
              </w:rPr>
              <w:t>Treading the boards with the middle class hordes.</w:t>
            </w:r>
          </w:p>
          <w:p w:rsidR="009F7EB4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9F7EB4">
              <w:rPr>
                <w:rFonts w:ascii="Calibri" w:hAnsi="Calibri" w:cs="Calibri"/>
                <w:sz w:val="16"/>
                <w:szCs w:val="16"/>
              </w:rPr>
              <w:t xml:space="preserve">Andy Bradley (AMB) </w:t>
            </w:r>
            <w:r w:rsidR="00E6599D" w:rsidRPr="009F7EB4">
              <w:rPr>
                <w:rFonts w:ascii="Calibri" w:hAnsi="Calibri" w:cs="Calibri"/>
                <w:sz w:val="16"/>
                <w:szCs w:val="16"/>
              </w:rPr>
              <w:t>–</w:t>
            </w:r>
            <w:r w:rsidR="00D8009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432BC">
              <w:rPr>
                <w:rFonts w:ascii="Calibri" w:hAnsi="Calibri" w:cs="Calibri"/>
                <w:sz w:val="16"/>
                <w:szCs w:val="16"/>
              </w:rPr>
              <w:t xml:space="preserve">yes </w:t>
            </w:r>
            <w:proofErr w:type="spellStart"/>
            <w:r w:rsidR="008432BC">
              <w:rPr>
                <w:rFonts w:ascii="Calibri" w:hAnsi="Calibri" w:cs="Calibri"/>
                <w:sz w:val="16"/>
                <w:szCs w:val="16"/>
              </w:rPr>
              <w:t>yes</w:t>
            </w:r>
            <w:proofErr w:type="spellEnd"/>
            <w:r w:rsidR="008432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8432BC">
              <w:rPr>
                <w:rFonts w:ascii="Calibri" w:hAnsi="Calibri" w:cs="Calibri"/>
                <w:sz w:val="16"/>
                <w:szCs w:val="16"/>
              </w:rPr>
              <w:t>yes</w:t>
            </w:r>
            <w:proofErr w:type="spellEnd"/>
            <w:r w:rsidR="008432B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8432BC">
              <w:rPr>
                <w:rFonts w:ascii="Calibri" w:hAnsi="Calibri" w:cs="Calibri"/>
                <w:sz w:val="16"/>
                <w:szCs w:val="16"/>
              </w:rPr>
              <w:t>yes</w:t>
            </w:r>
            <w:proofErr w:type="spellEnd"/>
            <w:r w:rsidR="008432BC">
              <w:rPr>
                <w:rFonts w:ascii="Calibri" w:hAnsi="Calibri" w:cs="Calibri"/>
                <w:sz w:val="16"/>
                <w:szCs w:val="16"/>
              </w:rPr>
              <w:t xml:space="preserve">, no - Vicar of </w:t>
            </w:r>
            <w:proofErr w:type="spellStart"/>
            <w:r w:rsidR="008432BC">
              <w:rPr>
                <w:rFonts w:ascii="Calibri" w:hAnsi="Calibri" w:cs="Calibri"/>
                <w:sz w:val="16"/>
                <w:szCs w:val="16"/>
              </w:rPr>
              <w:t>Dibley</w:t>
            </w:r>
            <w:proofErr w:type="spellEnd"/>
            <w:r w:rsidR="008432BC">
              <w:rPr>
                <w:rFonts w:ascii="Calibri" w:hAnsi="Calibri" w:cs="Calibri"/>
                <w:sz w:val="16"/>
                <w:szCs w:val="16"/>
              </w:rPr>
              <w:t xml:space="preserve"> bloke</w:t>
            </w:r>
            <w:r w:rsidR="00D80096">
              <w:rPr>
                <w:rFonts w:ascii="Calibri" w:hAnsi="Calibri" w:cs="Calibri"/>
                <w:sz w:val="16"/>
                <w:szCs w:val="16"/>
              </w:rPr>
              <w:t>!</w:t>
            </w:r>
          </w:p>
          <w:p w:rsidR="00D80096" w:rsidRDefault="00D80096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Matt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Culverwell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(MC) - </w:t>
            </w:r>
            <w:r w:rsidR="008432BC">
              <w:rPr>
                <w:rFonts w:ascii="Calibri" w:hAnsi="Calibri" w:cs="Calibri"/>
                <w:sz w:val="16"/>
                <w:szCs w:val="16"/>
              </w:rPr>
              <w:t>better offer.</w:t>
            </w:r>
          </w:p>
          <w:p w:rsidR="00D80096" w:rsidRDefault="00D80096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Emma Chadwick (EC) - </w:t>
            </w:r>
            <w:r w:rsidR="008432BC">
              <w:rPr>
                <w:rFonts w:ascii="Calibri" w:hAnsi="Calibri" w:cs="Calibri"/>
                <w:sz w:val="16"/>
                <w:szCs w:val="16"/>
              </w:rPr>
              <w:t>influencing!</w:t>
            </w:r>
          </w:p>
          <w:p w:rsidR="00D80096" w:rsidRDefault="00D80096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Newton (the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guffin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' dog) (NTD) - </w:t>
            </w:r>
            <w:r w:rsidR="008432BC">
              <w:rPr>
                <w:rFonts w:ascii="Calibri" w:hAnsi="Calibri" w:cs="Calibri"/>
                <w:sz w:val="16"/>
                <w:szCs w:val="16"/>
              </w:rPr>
              <w:t>parping on greens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24501E" w:rsidRPr="00377AC3" w:rsidRDefault="00554CC7" w:rsidP="0015057B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9F7EB4">
              <w:rPr>
                <w:rFonts w:ascii="Calibri" w:hAnsi="Calibri" w:cs="Calibri"/>
                <w:sz w:val="16"/>
                <w:szCs w:val="16"/>
              </w:rPr>
              <w:t>J</w:t>
            </w:r>
            <w:r w:rsidR="00160B90" w:rsidRPr="009F7EB4">
              <w:rPr>
                <w:rFonts w:ascii="Calibri" w:hAnsi="Calibri" w:cs="Calibri"/>
                <w:sz w:val="16"/>
                <w:szCs w:val="16"/>
              </w:rPr>
              <w:t>es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60B90" w:rsidRPr="009F7EB4">
              <w:rPr>
                <w:rFonts w:ascii="Calibri" w:hAnsi="Calibri" w:cs="Calibri"/>
                <w:sz w:val="16"/>
                <w:szCs w:val="16"/>
              </w:rPr>
              <w:t>Challand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(JC) </w:t>
            </w:r>
            <w:r w:rsidR="00E6599D" w:rsidRPr="009F7EB4">
              <w:rPr>
                <w:rFonts w:ascii="Calibri" w:hAnsi="Calibri" w:cs="Calibri"/>
                <w:sz w:val="16"/>
                <w:szCs w:val="16"/>
              </w:rPr>
              <w:t>-</w:t>
            </w:r>
            <w:r w:rsidR="009F7EB4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87C44" w:rsidRPr="00287C44">
              <w:rPr>
                <w:rFonts w:ascii="Calibri" w:hAnsi="Calibri" w:cs="Calibri"/>
                <w:sz w:val="16"/>
                <w:szCs w:val="16"/>
              </w:rPr>
              <w:t>“</w:t>
            </w:r>
            <w:r w:rsidR="0015057B">
              <w:t xml:space="preserve"> </w:t>
            </w:r>
            <w:r w:rsidR="0015057B" w:rsidRPr="0015057B">
              <w:rPr>
                <w:rFonts w:ascii="Calibri" w:hAnsi="Calibri" w:cs="Calibri"/>
                <w:sz w:val="16"/>
                <w:szCs w:val="16"/>
              </w:rPr>
              <w:t xml:space="preserve">Il </w:t>
            </w:r>
            <w:proofErr w:type="spellStart"/>
            <w:r w:rsidR="0015057B" w:rsidRPr="0015057B">
              <w:rPr>
                <w:rFonts w:ascii="Calibri" w:hAnsi="Calibri" w:cs="Calibri"/>
                <w:sz w:val="16"/>
                <w:szCs w:val="16"/>
              </w:rPr>
              <w:t>vaut</w:t>
            </w:r>
            <w:proofErr w:type="spellEnd"/>
            <w:r w:rsidR="0015057B" w:rsidRPr="0015057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5057B" w:rsidRPr="0015057B">
              <w:rPr>
                <w:rFonts w:ascii="Calibri" w:hAnsi="Calibri" w:cs="Calibri"/>
                <w:sz w:val="16"/>
                <w:szCs w:val="16"/>
              </w:rPr>
              <w:t>mieux</w:t>
            </w:r>
            <w:proofErr w:type="spellEnd"/>
            <w:r w:rsidR="0015057B" w:rsidRPr="0015057B">
              <w:rPr>
                <w:rFonts w:ascii="Calibri" w:hAnsi="Calibri" w:cs="Calibri"/>
                <w:sz w:val="16"/>
                <w:szCs w:val="16"/>
              </w:rPr>
              <w:t xml:space="preserve"> faire </w:t>
            </w:r>
            <w:proofErr w:type="spellStart"/>
            <w:r w:rsidR="0015057B" w:rsidRPr="0015057B">
              <w:rPr>
                <w:rFonts w:ascii="Calibri" w:hAnsi="Calibri" w:cs="Calibri"/>
                <w:sz w:val="16"/>
                <w:szCs w:val="16"/>
              </w:rPr>
              <w:t>que</w:t>
            </w:r>
            <w:proofErr w:type="spellEnd"/>
            <w:r w:rsidR="0015057B" w:rsidRPr="0015057B">
              <w:rPr>
                <w:rFonts w:ascii="Calibri" w:hAnsi="Calibri" w:cs="Calibri"/>
                <w:sz w:val="16"/>
                <w:szCs w:val="16"/>
              </w:rPr>
              <w:t xml:space="preserve"> dire</w:t>
            </w:r>
            <w:r w:rsidR="00287C44" w:rsidRPr="00287C44">
              <w:rPr>
                <w:rFonts w:ascii="Calibri" w:hAnsi="Calibri" w:cs="Calibri"/>
                <w:sz w:val="16"/>
                <w:szCs w:val="16"/>
              </w:rPr>
              <w:t>”</w:t>
            </w:r>
            <w:r w:rsidR="00287C4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- </w:t>
            </w:r>
            <w:r w:rsid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</w:t>
            </w:r>
            <w:r w:rsidR="00895730">
              <w:t xml:space="preserve"> </w:t>
            </w:r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This month, </w:t>
            </w:r>
            <w:proofErr w:type="spellStart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Jes</w:t>
            </w:r>
            <w:proofErr w:type="spellEnd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shares his initials with "Jason </w:t>
            </w:r>
            <w:proofErr w:type="spellStart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Collet</w:t>
            </w:r>
            <w:proofErr w:type="spellEnd"/>
            <w:r w:rsidR="00895730" w:rsidRPr="00895730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" - guitarist with brilliant Canadian indie rock band - Broken Social Scene! </w:t>
            </w:r>
            <w:r w:rsidR="00287C4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</w:t>
            </w:r>
            <w:r w:rsidR="00895730">
              <w:t xml:space="preserve"> </w:t>
            </w:r>
            <w:r w:rsidR="00895730">
              <w:rPr>
                <w:noProof/>
              </w:rPr>
              <w:drawing>
                <wp:inline distT="0" distB="0" distL="0" distR="0">
                  <wp:extent cx="585249" cy="710242"/>
                  <wp:effectExtent l="19050" t="0" r="5301" b="0"/>
                  <wp:docPr id="4" name="Picture 1" descr="Image result for jason coll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ason coll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73" cy="710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B90" w:rsidRPr="001A2FE1" w:rsidTr="0099058C">
        <w:tc>
          <w:tcPr>
            <w:tcW w:w="15559" w:type="dxa"/>
            <w:gridSpan w:val="2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Agenda: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Okay previous minutes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Previous Actions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Treasurers Report &amp; current portfolio update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Investment strategy &amp; Homework (share updates)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Fantasy Shares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Peston</w:t>
            </w:r>
            <w:proofErr w:type="spellEnd"/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AOB</w:t>
            </w:r>
          </w:p>
          <w:p w:rsidR="00160B90" w:rsidRPr="001A2FE1" w:rsidRDefault="001D19CE" w:rsidP="00A82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sz w:val="16"/>
                <w:szCs w:val="16"/>
              </w:rPr>
              <w:t>.      Next Meeting</w:t>
            </w:r>
          </w:p>
        </w:tc>
      </w:tr>
      <w:tr w:rsidR="00160B90" w:rsidRPr="001A2FE1" w:rsidTr="0099058C">
        <w:trPr>
          <w:trHeight w:val="332"/>
        </w:trPr>
        <w:tc>
          <w:tcPr>
            <w:tcW w:w="14778" w:type="dxa"/>
          </w:tcPr>
          <w:p w:rsidR="00C83D4C" w:rsidRPr="001A2FE1" w:rsidRDefault="00160B90" w:rsidP="0015057B">
            <w:pPr>
              <w:pStyle w:val="Heading2"/>
              <w:shd w:val="clear" w:color="auto" w:fill="FFFFFF"/>
              <w:spacing w:before="0" w:after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287C44">
              <w:rPr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1.  </w:t>
            </w:r>
            <w:r w:rsidRPr="00287C4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Okay Previous Minutes  What, there were minutes - no way - seriously, does anyone read this </w:t>
            </w:r>
            <w:r w:rsidR="00C83D4C" w:rsidRPr="00287C4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? </w:t>
            </w:r>
            <w:r w:rsidR="009828AF" w:rsidRPr="00287C4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="00F6134B" w:rsidRPr="00287C44">
              <w:rPr>
                <w:rFonts w:asciiTheme="minorHAnsi" w:hAnsiTheme="minorHAnsi" w:cstheme="minorHAnsi"/>
                <w:b w:val="0"/>
                <w:i w:val="0"/>
                <w:spacing w:val="-3"/>
                <w:sz w:val="16"/>
                <w:szCs w:val="16"/>
              </w:rPr>
              <w:t xml:space="preserve"> </w:t>
            </w:r>
            <w:r w:rsidR="0015057B">
              <w:t xml:space="preserve"> </w:t>
            </w:r>
            <w:r w:rsidR="0015057B" w:rsidRPr="0015057B">
              <w:rPr>
                <w:rFonts w:asciiTheme="minorHAnsi" w:hAnsiTheme="minorHAnsi" w:cstheme="minorHAnsi"/>
                <w:b w:val="0"/>
                <w:bCs w:val="0"/>
                <w:i w:val="0"/>
                <w:color w:val="111111"/>
                <w:spacing w:val="-3"/>
                <w:sz w:val="16"/>
                <w:szCs w:val="16"/>
              </w:rPr>
              <w:t>To produce a single pound of honey, a single bee would have to visit 2 million flowers.</w:t>
            </w:r>
          </w:p>
        </w:tc>
        <w:tc>
          <w:tcPr>
            <w:tcW w:w="781" w:type="dxa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99058C">
        <w:tc>
          <w:tcPr>
            <w:tcW w:w="14778" w:type="dxa"/>
          </w:tcPr>
          <w:p w:rsidR="0024501E" w:rsidRDefault="001D19CE" w:rsidP="0099058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="0024501E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 w:rsidR="0024501E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 Previous Actions</w:t>
            </w:r>
          </w:p>
          <w:p w:rsidR="00160B90" w:rsidRDefault="00160B90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02324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2.3.1 - NCP to email TDW re: currency error on account and what is needed to trade in US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Pr="002D3A1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Info received but memberships require sorting with TDW - back to NCP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="002A6831" w:rsidRPr="00B94D12">
              <w:rPr>
                <w:rFonts w:ascii="Calibri" w:hAnsi="Calibri" w:cs="Calibri"/>
                <w:b/>
                <w:sz w:val="16"/>
                <w:szCs w:val="16"/>
              </w:rPr>
              <w:t>NCP to grab papers</w:t>
            </w:r>
            <w:r w:rsidR="00B94D12" w:rsidRPr="00B94D12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255C40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1444D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ongoing</w:t>
            </w:r>
          </w:p>
          <w:p w:rsidR="002B203C" w:rsidRDefault="00EE6FA6" w:rsidP="00C850AE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99536B">
              <w:rPr>
                <w:rFonts w:ascii="Calibri" w:hAnsi="Calibri" w:cs="Calibri"/>
                <w:b/>
                <w:sz w:val="16"/>
                <w:szCs w:val="16"/>
              </w:rPr>
              <w:t>5.11.1 - Sri to investigate YU Group - nuclear rod reuse?</w:t>
            </w:r>
            <w:r w:rsidR="001D19C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4B0B5A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Still t</w:t>
            </w:r>
            <w:r w:rsidR="001D19C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o do</w:t>
            </w:r>
            <w:r w:rsidR="00E6599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– No news</w:t>
            </w:r>
          </w:p>
          <w:p w:rsidR="00672696" w:rsidRDefault="00672696" w:rsidP="0067269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5057B">
              <w:rPr>
                <w:rFonts w:ascii="Calibri" w:hAnsi="Calibri" w:cs="Calibri"/>
                <w:sz w:val="16"/>
                <w:szCs w:val="16"/>
              </w:rPr>
              <w:t xml:space="preserve">7.16.1 - </w:t>
            </w:r>
            <w:proofErr w:type="spellStart"/>
            <w:r w:rsidRPr="0015057B">
              <w:rPr>
                <w:rFonts w:ascii="Calibri" w:hAnsi="Calibri" w:cs="Calibri"/>
                <w:sz w:val="16"/>
                <w:szCs w:val="16"/>
              </w:rPr>
              <w:t>DMcN</w:t>
            </w:r>
            <w:proofErr w:type="spellEnd"/>
            <w:r w:rsidRPr="0015057B">
              <w:rPr>
                <w:rFonts w:ascii="Calibri" w:hAnsi="Calibri" w:cs="Calibri"/>
                <w:sz w:val="16"/>
                <w:szCs w:val="16"/>
              </w:rPr>
              <w:t xml:space="preserve"> advised he would come up with some tweaks to the agenda that he has been mulling.</w:t>
            </w:r>
            <w:r w:rsidR="0067758B" w:rsidRPr="0015057B">
              <w:rPr>
                <w:rFonts w:ascii="Calibri" w:hAnsi="Calibri" w:cs="Calibri"/>
                <w:sz w:val="16"/>
                <w:szCs w:val="16"/>
              </w:rPr>
              <w:t xml:space="preserve"> -to be passed to NCP</w:t>
            </w:r>
            <w:r w:rsidR="0015057B" w:rsidRPr="0015057B">
              <w:rPr>
                <w:rFonts w:ascii="Calibri" w:hAnsi="Calibri" w:cs="Calibri"/>
                <w:sz w:val="16"/>
                <w:szCs w:val="16"/>
              </w:rPr>
              <w:t xml:space="preserve"> -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still waiting!</w:t>
            </w:r>
          </w:p>
          <w:p w:rsidR="00672696" w:rsidRDefault="00672696" w:rsidP="0067269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5057B">
              <w:rPr>
                <w:rFonts w:ascii="Calibri" w:hAnsi="Calibri" w:cs="Calibri"/>
                <w:sz w:val="16"/>
                <w:szCs w:val="16"/>
              </w:rPr>
              <w:t>7.16.2 - Steve Smith (</w:t>
            </w:r>
            <w:proofErr w:type="spellStart"/>
            <w:r w:rsidRPr="0015057B">
              <w:rPr>
                <w:rFonts w:ascii="Calibri" w:hAnsi="Calibri" w:cs="Calibri"/>
                <w:sz w:val="16"/>
                <w:szCs w:val="16"/>
              </w:rPr>
              <w:t>Cheadle</w:t>
            </w:r>
            <w:proofErr w:type="spellEnd"/>
            <w:r w:rsidRPr="0015057B">
              <w:rPr>
                <w:rFonts w:ascii="Calibri" w:hAnsi="Calibri" w:cs="Calibri"/>
                <w:sz w:val="16"/>
                <w:szCs w:val="16"/>
              </w:rPr>
              <w:t xml:space="preserve"> ex BBS) is apparently interested in joining  - to be invited to attend.</w:t>
            </w:r>
            <w:r w:rsidR="0067758B" w:rsidRPr="0015057B">
              <w:rPr>
                <w:rFonts w:ascii="Calibri" w:hAnsi="Calibri" w:cs="Calibri"/>
                <w:sz w:val="16"/>
                <w:szCs w:val="16"/>
              </w:rPr>
              <w:t xml:space="preserve"> - Sri to do, as Steve double booked this month.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Steve attended.</w:t>
            </w:r>
          </w:p>
          <w:p w:rsidR="00C95F8B" w:rsidRDefault="00C95F8B" w:rsidP="00C95F8B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4.1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8</w:t>
            </w:r>
            <w:r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.1 - Tabled shares and info –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dotdigital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alliance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pharma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nextis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communications, restore plc,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Farn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pharma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>), N4P (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Pharma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>), GGP - Gold.  NCP to buy £750 of GGP</w:t>
            </w:r>
          </w:p>
          <w:p w:rsidR="00C95F8B" w:rsidRPr="00E039FB" w:rsidRDefault="00C95F8B" w:rsidP="00C95F8B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4.18.2 - JT  to increase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xfer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to £480 from £450</w:t>
            </w:r>
          </w:p>
          <w:p w:rsidR="00C95F8B" w:rsidRPr="0019432D" w:rsidRDefault="00C95F8B" w:rsidP="00C95F8B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7.18.1 - Steve to be given details re: joining.  NCP/ JT to sort</w:t>
            </w:r>
          </w:p>
          <w:p w:rsidR="00672696" w:rsidRPr="00B61429" w:rsidRDefault="00672696" w:rsidP="0015057B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8B21B4" w:rsidRDefault="00EE6FA6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SM</w:t>
            </w:r>
          </w:p>
          <w:p w:rsidR="001444DD" w:rsidRDefault="0015057B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DMcN</w:t>
            </w:r>
            <w:proofErr w:type="spellEnd"/>
          </w:p>
          <w:p w:rsidR="0067758B" w:rsidRDefault="0067758B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SM</w:t>
            </w:r>
          </w:p>
          <w:p w:rsidR="000B4F1B" w:rsidRDefault="00C95F8B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C95F8B" w:rsidRDefault="00C95F8B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C95F8B" w:rsidRPr="001A2FE1" w:rsidRDefault="00C95F8B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NCP/JT</w:t>
            </w:r>
          </w:p>
        </w:tc>
      </w:tr>
      <w:tr w:rsidR="00160B90" w:rsidRPr="001A2FE1" w:rsidTr="0099058C">
        <w:trPr>
          <w:trHeight w:val="3541"/>
        </w:trPr>
        <w:tc>
          <w:tcPr>
            <w:tcW w:w="14778" w:type="dxa"/>
          </w:tcPr>
          <w:p w:rsidR="00160B90" w:rsidRDefault="001D19CE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3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 Treasurers Report &amp; current portfolio update</w:t>
            </w:r>
          </w:p>
          <w:p w:rsidR="00160B90" w:rsidRDefault="00160B90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The club has </w:t>
            </w:r>
            <w:r w:rsidR="002A683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cash of </w:t>
            </w: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>£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4148.21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>. Cash at Barclays is £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1468.56 - Dean's £782.24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£1,000 in House</w:t>
            </w:r>
            <w:r w:rsidR="00A651D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Crowd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(JT chasing)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, £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270.49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A651DC">
              <w:rPr>
                <w:rFonts w:ascii="Calibri" w:hAnsi="Calibri" w:cs="Calibri"/>
                <w:color w:val="FF0000"/>
                <w:sz w:val="16"/>
                <w:szCs w:val="16"/>
              </w:rPr>
              <w:t>in Crypto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Divi</w:t>
            </w:r>
            <w:proofErr w:type="spellEnd"/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£11.86 (26/10) from </w:t>
            </w:r>
            <w:proofErr w:type="spellStart"/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Strix</w:t>
            </w:r>
            <w:proofErr w:type="spellEnd"/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</w:t>
            </w: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Each member has </w:t>
            </w:r>
            <w:r w:rsidR="0067739E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6</w:t>
            </w: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units purchased at £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30 each.  Each unit now worth £3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0.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45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an increase of 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1.47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%</w:t>
            </w:r>
            <w:r w:rsidR="009D799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</w:t>
            </w:r>
            <w:r w:rsidR="00EE6FA6">
              <w:rPr>
                <w:rFonts w:ascii="Calibri" w:hAnsi="Calibri" w:cs="Calibri"/>
                <w:color w:val="FF0000"/>
                <w:sz w:val="16"/>
                <w:szCs w:val="16"/>
              </w:rPr>
              <w:t>£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7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8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  <w:r w:rsidR="00EE6FA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now worth £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7</w:t>
            </w:r>
            <w:r w:rsidR="0015057B">
              <w:rPr>
                <w:rFonts w:ascii="Calibri" w:hAnsi="Calibri" w:cs="Calibri"/>
                <w:color w:val="FF0000"/>
                <w:sz w:val="16"/>
                <w:szCs w:val="16"/>
              </w:rPr>
              <w:t>91.57</w:t>
            </w:r>
            <w:r w:rsidR="00EE6FA6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A651D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:rsidR="0067739E" w:rsidRPr="008215B7" w:rsidRDefault="00297092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97092">
              <w:rPr>
                <w:rFonts w:ascii="Calibri" w:hAnsi="Calibri" w:cs="Calibri"/>
                <w:color w:val="FF0000"/>
                <w:sz w:val="16"/>
                <w:szCs w:val="16"/>
              </w:rPr>
              <w:drawing>
                <wp:inline distT="0" distB="0" distL="0" distR="0">
                  <wp:extent cx="3097861" cy="1749287"/>
                  <wp:effectExtent l="19050" t="0" r="26339" b="3313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981C2B" w:rsidRPr="00981C2B">
              <w:rPr>
                <w:rFonts w:ascii="Calibri" w:hAnsi="Calibri" w:cs="Calibri"/>
                <w:color w:val="FF0000"/>
                <w:sz w:val="16"/>
                <w:szCs w:val="16"/>
              </w:rPr>
              <w:drawing>
                <wp:inline distT="0" distB="0" distL="0" distR="0">
                  <wp:extent cx="3113764" cy="1749287"/>
                  <wp:effectExtent l="19050" t="0" r="10436" b="3313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981C2B" w:rsidRPr="00981C2B">
              <w:rPr>
                <w:rFonts w:ascii="Calibri" w:hAnsi="Calibri" w:cs="Calibri"/>
                <w:color w:val="FF0000"/>
                <w:sz w:val="16"/>
                <w:szCs w:val="16"/>
              </w:rPr>
              <w:drawing>
                <wp:inline distT="0" distB="0" distL="0" distR="0">
                  <wp:extent cx="2755955" cy="1749287"/>
                  <wp:effectExtent l="19050" t="0" r="25345" b="3313"/>
                  <wp:docPr id="1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160B90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B90">
              <w:rPr>
                <w:rFonts w:ascii="Calibri" w:hAnsi="Calibri" w:cs="Calibri"/>
                <w:b/>
                <w:sz w:val="16"/>
                <w:szCs w:val="16"/>
              </w:rPr>
              <w:t>Portfolio</w:t>
            </w:r>
          </w:p>
          <w:tbl>
            <w:tblPr>
              <w:tblW w:w="10435" w:type="dxa"/>
              <w:tblLayout w:type="fixed"/>
              <w:tblLook w:val="04A0"/>
            </w:tblPr>
            <w:tblGrid>
              <w:gridCol w:w="895"/>
              <w:gridCol w:w="630"/>
              <w:gridCol w:w="2790"/>
              <w:gridCol w:w="990"/>
              <w:gridCol w:w="1260"/>
              <w:gridCol w:w="990"/>
              <w:gridCol w:w="990"/>
              <w:gridCol w:w="1080"/>
              <w:gridCol w:w="810"/>
            </w:tblGrid>
            <w:tr w:rsidR="00C65C6C" w:rsidRPr="00C65C6C" w:rsidTr="00C65C6C">
              <w:trPr>
                <w:trHeight w:val="293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Symbol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Qty.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Champion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Market Value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Book Cost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Gain/Loss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Prev</w:t>
                  </w:r>
                  <w:proofErr w:type="spellEnd"/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Month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Variance</w:t>
                  </w:r>
                </w:p>
              </w:tc>
            </w:tr>
            <w:tr w:rsidR="009271C0" w:rsidRPr="00C65C6C" w:rsidTr="00EC481A">
              <w:trPr>
                <w:trHeight w:val="302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HLMA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HALMA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947.1</w:t>
                  </w:r>
                  <w:r w:rsidR="009D467A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990.12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-43.02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467A" w:rsidRPr="009D467A" w:rsidRDefault="009271C0" w:rsidP="009D467A">
                  <w:pPr>
                    <w:jc w:val="right"/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875</w:t>
                  </w:r>
                  <w:r w:rsidR="009D467A">
                    <w:rPr>
                      <w:rFonts w:asciiTheme="minorHAnsi" w:hAnsiTheme="minorHAnsi" w:cstheme="minorHAnsi"/>
                      <w:bCs/>
                      <w:color w:val="1F497D"/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 w:rsidP="009D467A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72.1</w:t>
                  </w:r>
                  <w:r w:rsid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0</w:t>
                  </w:r>
                </w:p>
              </w:tc>
            </w:tr>
            <w:tr w:rsidR="009271C0" w:rsidRPr="00C65C6C" w:rsidTr="00BA55E7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HAYD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HAYDALE GRAPHENE INDUSTRIES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146.97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499.56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-352.59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120.06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26.91</w:t>
                  </w:r>
                </w:p>
              </w:tc>
            </w:tr>
            <w:tr w:rsidR="009271C0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IMMO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3935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IMMOTION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DG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383.66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499.91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-116.25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393.5</w:t>
                  </w:r>
                  <w:r w:rsid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-9.84</w:t>
                  </w:r>
                </w:p>
              </w:tc>
            </w:tr>
            <w:tr w:rsidR="009271C0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JE.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JUST EAT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DS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759.81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996.07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-236.26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761.36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-1.55</w:t>
                  </w:r>
                </w:p>
              </w:tc>
            </w:tr>
            <w:tr w:rsidR="009271C0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MERL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262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MERLIN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915.95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997.71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-81.76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815.87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100.08</w:t>
                  </w:r>
                </w:p>
              </w:tc>
            </w:tr>
            <w:tr w:rsidR="009271C0" w:rsidRPr="00C65C6C" w:rsidTr="00BD412B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PURP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PURPLE BRICKS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266.84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747.41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-480.57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305.77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-38.93</w:t>
                  </w:r>
                </w:p>
              </w:tc>
            </w:tr>
            <w:tr w:rsidR="009271C0" w:rsidRPr="00C65C6C" w:rsidTr="00BD412B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KETL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516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STRIX GROUP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720.34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748.91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-28.57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748.2</w:t>
                  </w:r>
                  <w:r w:rsid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-27.86</w:t>
                  </w:r>
                </w:p>
              </w:tc>
            </w:tr>
            <w:tr w:rsidR="009271C0" w:rsidRPr="00C65C6C" w:rsidTr="009535B0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SUMO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432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SUMO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591.84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748.72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-156.88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686.88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-95.04</w:t>
                  </w:r>
                </w:p>
              </w:tc>
            </w:tr>
            <w:tr w:rsidR="009271C0" w:rsidRPr="00C65C6C" w:rsidTr="009535B0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TSTR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1156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TRI-STAR RESOURCES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445.06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750</w:t>
                  </w:r>
                  <w:r w:rsid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-304.94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520.2</w:t>
                  </w:r>
                  <w:r w:rsid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-75.14</w:t>
                  </w:r>
                </w:p>
              </w:tc>
            </w:tr>
            <w:tr w:rsidR="009271C0" w:rsidRPr="00C65C6C" w:rsidTr="009535B0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VRS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547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VERSARIEN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659.14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999.74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-340.6</w:t>
                  </w:r>
                  <w:r w:rsid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618.11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41.03</w:t>
                  </w:r>
                </w:p>
              </w:tc>
            </w:tr>
            <w:tr w:rsidR="009271C0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VOD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4152D4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VODAFONE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4152D4" w:rsidRDefault="009271C0" w:rsidP="004152D4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627.49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749.37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-121.88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544.68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71C0" w:rsidRPr="009D467A" w:rsidRDefault="009271C0">
                  <w:pPr>
                    <w:jc w:val="right"/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D467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82.81</w:t>
                  </w:r>
                </w:p>
              </w:tc>
            </w:tr>
          </w:tbl>
          <w:p w:rsidR="00C65C6C" w:rsidRPr="0031580C" w:rsidRDefault="00C65C6C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="00160B90">
              <w:rPr>
                <w:rFonts w:ascii="Calibri" w:hAnsi="Calibri" w:cs="Calibri"/>
                <w:b/>
                <w:sz w:val="16"/>
                <w:szCs w:val="16"/>
              </w:rPr>
              <w:t>. Investment Strategy and Homework (Share updates)</w:t>
            </w:r>
          </w:p>
          <w:p w:rsidR="00160B90" w:rsidRPr="005F2B84" w:rsidRDefault="00160B90" w:rsidP="0099058C">
            <w:pPr>
              <w:rPr>
                <w:rFonts w:ascii="Calibri" w:hAnsi="Calibri" w:cs="Calibri"/>
                <w:color w:val="403152"/>
                <w:sz w:val="16"/>
                <w:szCs w:val="16"/>
              </w:rPr>
            </w:pPr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Areas of focus - owners - Aerospace &amp;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Defense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 – AJW, Automobiles &amp; Parts – EC, Electronic &amp; Electrical Equipment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, Gas, Water &amp; Multi Utilities – DSW &amp; AJW, Health Care Equipment &amp; Services – EC &amp; NCP, Mining – JT, Mobile Telecommunications – MC, Pharmaceuticals &amp; Biotechnology – DSW &amp; JT &amp; NCP, Software &amp; Computer Services – MC, Travel &amp; Leisure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</w:p>
          <w:p w:rsidR="00ED0910" w:rsidRDefault="00160B90" w:rsidP="002C2C2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A64E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Homework </w:t>
            </w:r>
            <w:r w:rsidR="00BA6EA6">
              <w:rPr>
                <w:rFonts w:ascii="Calibri" w:hAnsi="Calibri" w:cs="Calibri"/>
                <w:color w:val="FF0000"/>
                <w:sz w:val="16"/>
                <w:szCs w:val="16"/>
              </w:rPr>
              <w:t>–</w:t>
            </w:r>
            <w:r w:rsidRPr="005A64E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Halma</w:t>
            </w:r>
            <w:proofErr w:type="spellEnd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- 84%</w:t>
            </w:r>
            <w:r w:rsidR="00284AE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trade outside of UK. </w:t>
            </w:r>
            <w:proofErr w:type="spellStart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Haydale</w:t>
            </w:r>
            <w:proofErr w:type="spellEnd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making </w:t>
            </w:r>
            <w:proofErr w:type="spellStart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smartlocking</w:t>
            </w:r>
            <w:proofErr w:type="spellEnd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car nits, Just Eat - challenge from </w:t>
            </w:r>
            <w:proofErr w:type="spellStart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deliveroo</w:t>
            </w:r>
            <w:proofErr w:type="spellEnd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- 50,000 drivers and </w:t>
            </w:r>
            <w:proofErr w:type="spellStart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restaraunts</w:t>
            </w:r>
            <w:proofErr w:type="spellEnd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Merlin - Single line queuing initiative. Purple Bricks - 2% rise in revenue. </w:t>
            </w:r>
            <w:proofErr w:type="spellStart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Strix</w:t>
            </w:r>
            <w:proofErr w:type="spellEnd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some discussion of accounting irregularities. Sumo - internal purchases - buy rating. Tri-Star - testing underway - Q1/Q2 plant activation. </w:t>
            </w:r>
            <w:proofErr w:type="spellStart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proofErr w:type="spellStart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chinese</w:t>
            </w:r>
            <w:proofErr w:type="spellEnd"/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setup in Jinan. Vodafone - new net, TV and phone package deals.</w:t>
            </w:r>
          </w:p>
          <w:p w:rsidR="0067739E" w:rsidRDefault="008B21B4" w:rsidP="00BA6E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4</w:t>
            </w:r>
            <w:r w:rsidR="00EE6FA6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.1</w:t>
            </w:r>
            <w:r w:rsidR="00C95F8B">
              <w:rPr>
                <w:rFonts w:ascii="Calibri" w:hAnsi="Calibri" w:cs="Calibri"/>
                <w:color w:val="FF0000"/>
                <w:sz w:val="16"/>
                <w:szCs w:val="16"/>
              </w:rPr>
              <w:t>8</w:t>
            </w:r>
            <w:r w:rsidR="00EE6FA6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.1 - </w:t>
            </w:r>
            <w:r w:rsidR="002C2C2A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Tabled share</w:t>
            </w:r>
            <w:r w:rsidR="00EE6FA6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s</w:t>
            </w:r>
            <w:r w:rsidR="002C2C2A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A651DC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and info </w:t>
            </w:r>
            <w:r w:rsidR="00BA6EA6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–</w:t>
            </w:r>
            <w:r w:rsidR="00A651DC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dotdigital</w:t>
            </w:r>
            <w:proofErr w:type="spellEnd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, alliance</w:t>
            </w:r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pharma</w:t>
            </w:r>
            <w:proofErr w:type="spellEnd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nextis</w:t>
            </w:r>
            <w:proofErr w:type="spellEnd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communications, restore plc, </w:t>
            </w:r>
            <w:proofErr w:type="spellStart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Farn</w:t>
            </w:r>
            <w:proofErr w:type="spellEnd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pharma</w:t>
            </w:r>
            <w:proofErr w:type="spellEnd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), N4P (</w:t>
            </w:r>
            <w:proofErr w:type="spellStart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Pharma</w:t>
            </w:r>
            <w:proofErr w:type="spellEnd"/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), GGP - Gold.  NCP to buy £750 of GGP</w:t>
            </w:r>
          </w:p>
          <w:p w:rsidR="004152D4" w:rsidRPr="00E039FB" w:rsidRDefault="00C95F8B" w:rsidP="00BA6E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4.18.2 - JT  to increase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xfer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to £480 from £450</w:t>
            </w: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Fantasy Shares</w:t>
            </w:r>
          </w:p>
          <w:p w:rsidR="00F82692" w:rsidRDefault="00F8576C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5.14.1 - New competition up and running - not everyone taking part it appears.  Position at </w:t>
            </w:r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Sunday </w:t>
            </w:r>
            <w:r w:rsidR="00F82692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.201</w:t>
            </w:r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>9</w:t>
            </w:r>
          </w:p>
          <w:p w:rsidR="00F8576C" w:rsidRDefault="00F8576C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lastRenderedPageBreak/>
              <w:t>.</w:t>
            </w:r>
            <w:r w:rsidR="004152D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4152D4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3869138" cy="1562062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935" cy="1562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0AE" w:rsidRPr="001A2FE1" w:rsidRDefault="00C850A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Discussion took place about reverting back to the previous competition next year, as this iteration doesn't seem to be as good as anticipated.</w:t>
            </w:r>
          </w:p>
          <w:p w:rsidR="00974B70" w:rsidRDefault="00974B70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Peston</w:t>
            </w:r>
            <w:proofErr w:type="spellEnd"/>
          </w:p>
          <w:p w:rsidR="0019432D" w:rsidRPr="00EF04B1" w:rsidRDefault="00284AE5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Woman in US spent time in prison as cops mistook blue candy floss for meth. pilot over shot Tunisia by 29 miles as asleep.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brits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spend 8 months of adult life on the loo. rogue ATM in USA got large crowds as $100 bills given instead of $20 bills. Leon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Sterber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banned from opticians as found glasses wearing women attractive and helped woman try on sunglasses whilst masturbating in shop. porn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vids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offered under grilling items on Amazon.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Orang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Utan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trained to work in brothel in Indonesia. Mel B keeps a surgically removed tattoo in a jar of her ex hubbies initials.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brazillian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restaraunt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london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had cattle being slaughtered soundtrack piped in by Vegan activists. labelling error in US hospital meant man died having lungs cleaned with cleaning fluid. </w:t>
            </w:r>
            <w:r w:rsidR="00215552">
              <w:rPr>
                <w:rFonts w:ascii="Calibri" w:hAnsi="Calibri" w:cs="Calibri"/>
                <w:sz w:val="16"/>
                <w:szCs w:val="16"/>
              </w:rPr>
              <w:t xml:space="preserve"> Maggie Thatcher touted as scientist for £50 note for her work of soft scoop </w:t>
            </w:r>
            <w:proofErr w:type="spellStart"/>
            <w:r w:rsidR="00215552">
              <w:rPr>
                <w:rFonts w:ascii="Calibri" w:hAnsi="Calibri" w:cs="Calibri"/>
                <w:sz w:val="16"/>
                <w:szCs w:val="16"/>
              </w:rPr>
              <w:t>icecream</w:t>
            </w:r>
            <w:proofErr w:type="spellEnd"/>
            <w:r w:rsidR="00215552">
              <w:rPr>
                <w:rFonts w:ascii="Calibri" w:hAnsi="Calibri" w:cs="Calibri"/>
                <w:sz w:val="16"/>
                <w:szCs w:val="16"/>
              </w:rPr>
              <w:t xml:space="preserve"> at Lyons prior to politics. a research team swallowed </w:t>
            </w:r>
            <w:proofErr w:type="spellStart"/>
            <w:r w:rsidR="00215552">
              <w:rPr>
                <w:rFonts w:ascii="Calibri" w:hAnsi="Calibri" w:cs="Calibri"/>
                <w:sz w:val="16"/>
                <w:szCs w:val="16"/>
              </w:rPr>
              <w:t>lego</w:t>
            </w:r>
            <w:proofErr w:type="spellEnd"/>
            <w:r w:rsidR="00215552">
              <w:rPr>
                <w:rFonts w:ascii="Calibri" w:hAnsi="Calibri" w:cs="Calibri"/>
                <w:sz w:val="16"/>
                <w:szCs w:val="16"/>
              </w:rPr>
              <w:t xml:space="preserve"> 4x4 brick to see how long it takes to pass. average 1.7 days. first time </w:t>
            </w:r>
            <w:proofErr w:type="spellStart"/>
            <w:r w:rsidR="00215552">
              <w:rPr>
                <w:rFonts w:ascii="Calibri" w:hAnsi="Calibri" w:cs="Calibri"/>
                <w:sz w:val="16"/>
                <w:szCs w:val="16"/>
              </w:rPr>
              <w:t>handglider</w:t>
            </w:r>
            <w:proofErr w:type="spellEnd"/>
            <w:r w:rsidR="00215552">
              <w:rPr>
                <w:rFonts w:ascii="Calibri" w:hAnsi="Calibri" w:cs="Calibri"/>
                <w:sz w:val="16"/>
                <w:szCs w:val="16"/>
              </w:rPr>
              <w:t xml:space="preserve"> not strapped in and had to hang on for over a minute when slipped off until descended.</w:t>
            </w:r>
          </w:p>
          <w:p w:rsidR="002B203C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AOB </w:t>
            </w:r>
          </w:p>
          <w:p w:rsidR="00C850AE" w:rsidRPr="0019432D" w:rsidRDefault="00C850AE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7.1</w:t>
            </w:r>
            <w:r w:rsidR="00C95F8B">
              <w:rPr>
                <w:rFonts w:ascii="Calibri" w:hAnsi="Calibri" w:cs="Calibri"/>
                <w:color w:val="FF0000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r w:rsidR="00364469">
              <w:rPr>
                <w:rFonts w:ascii="Calibri" w:hAnsi="Calibri" w:cs="Calibri"/>
                <w:color w:val="FF0000"/>
                <w:sz w:val="16"/>
                <w:szCs w:val="16"/>
              </w:rPr>
              <w:t>Steve to be given details re: joining.  NCP/ JT to sort</w:t>
            </w:r>
          </w:p>
          <w:p w:rsidR="0019432D" w:rsidRDefault="0019432D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B203C" w:rsidRDefault="001D19CE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Next Meeting</w:t>
            </w:r>
          </w:p>
          <w:p w:rsidR="00160B90" w:rsidRDefault="00160B90" w:rsidP="0099058C">
            <w:pPr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Wednesday </w:t>
            </w:r>
            <w:r w:rsidR="00364469">
              <w:rPr>
                <w:rFonts w:ascii="Calibri" w:hAnsi="Calibri" w:cs="Calibri"/>
                <w:sz w:val="16"/>
                <w:szCs w:val="16"/>
              </w:rPr>
              <w:t>30</w:t>
            </w:r>
            <w:r w:rsidR="0019432D" w:rsidRPr="0019432D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="0019432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64469">
              <w:rPr>
                <w:rFonts w:ascii="Calibri" w:hAnsi="Calibri" w:cs="Calibri"/>
                <w:sz w:val="16"/>
                <w:szCs w:val="16"/>
              </w:rPr>
              <w:t>January, 2019</w:t>
            </w:r>
            <w:r w:rsidR="00E039FB">
              <w:rPr>
                <w:rFonts w:ascii="Calibri" w:hAnsi="Calibri" w:cs="Calibri"/>
                <w:sz w:val="16"/>
                <w:szCs w:val="16"/>
              </w:rPr>
              <w:t xml:space="preserve"> - agreed post email vote </w:t>
            </w:r>
            <w:r w:rsidR="001D2915">
              <w:rPr>
                <w:rFonts w:ascii="Calibri" w:hAnsi="Calibri" w:cs="Calibri"/>
                <w:sz w:val="16"/>
                <w:szCs w:val="16"/>
              </w:rPr>
              <w:t>.</w:t>
            </w:r>
            <w:r w:rsidR="00AC00C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Usual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 Venue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at 8.15.  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It was decided to just muck in on pizza payment - it is </w:t>
            </w: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soooo</w:t>
            </w:r>
            <w:proofErr w:type="spellEnd"/>
            <w:r w:rsidRPr="001A2FE1">
              <w:rPr>
                <w:rFonts w:ascii="Calibri" w:hAnsi="Calibri" w:cs="Calibri"/>
                <w:sz w:val="16"/>
                <w:szCs w:val="16"/>
              </w:rPr>
              <w:t xml:space="preserve"> much easier that way!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EE6FA6" w:rsidRPr="00EE6FA6" w:rsidRDefault="00EE6FA6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160B90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Side Note - Pizza area for future reference - 18" (254.24") - 14" (153.93") - 12" (113.09") - 9" (63.61")</w:t>
            </w:r>
          </w:p>
          <w:p w:rsidR="00160B90" w:rsidRPr="007B3D4E" w:rsidRDefault="0015057B" w:rsidP="007B3D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057B">
              <w:rPr>
                <w:rStyle w:val="Emphasis"/>
                <w:rFonts w:asciiTheme="minorHAnsi" w:hAnsiTheme="minorHAnsi" w:cstheme="minorHAnsi"/>
                <w:i w:val="0"/>
                <w:iCs w:val="0"/>
                <w:color w:val="404040"/>
                <w:sz w:val="20"/>
                <w:szCs w:val="20"/>
                <w:bdr w:val="none" w:sz="0" w:space="0" w:color="auto" w:frame="1"/>
                <w:shd w:val="clear" w:color="auto" w:fill="F7F7F7"/>
              </w:rPr>
              <w:t>“Doing is better than saying.”</w:t>
            </w: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9058C" w:rsidRDefault="0099058C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41F3F" w:rsidRDefault="00341F3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A6831" w:rsidRDefault="002A6831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Pr="001A2FE1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4152D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AA347E" w:rsidRDefault="00C95F8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AA347E" w:rsidRDefault="00AA34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A347E" w:rsidRDefault="00AA34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04B26" w:rsidRDefault="00404B26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039FB" w:rsidRDefault="00E039F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039FB" w:rsidRDefault="00E039F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039FB" w:rsidRDefault="00E039F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039FB" w:rsidRDefault="00E039F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JT/ NCP</w:t>
            </w:r>
          </w:p>
          <w:p w:rsidR="00364469" w:rsidRPr="001A2FE1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99058C" w:rsidRDefault="0099058C"/>
    <w:sectPr w:rsidR="0099058C" w:rsidSect="00160B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777"/>
    <w:multiLevelType w:val="hybridMultilevel"/>
    <w:tmpl w:val="6972D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CB66CE"/>
    <w:multiLevelType w:val="hybridMultilevel"/>
    <w:tmpl w:val="5A90D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60B90"/>
    <w:rsid w:val="00026903"/>
    <w:rsid w:val="000458E8"/>
    <w:rsid w:val="00064F5A"/>
    <w:rsid w:val="000818F8"/>
    <w:rsid w:val="000A6F59"/>
    <w:rsid w:val="000B4F1B"/>
    <w:rsid w:val="001362DE"/>
    <w:rsid w:val="001444DD"/>
    <w:rsid w:val="0015057B"/>
    <w:rsid w:val="00160B90"/>
    <w:rsid w:val="001623A2"/>
    <w:rsid w:val="00187B73"/>
    <w:rsid w:val="0019125F"/>
    <w:rsid w:val="0019432D"/>
    <w:rsid w:val="00196DE7"/>
    <w:rsid w:val="001D19CE"/>
    <w:rsid w:val="001D2915"/>
    <w:rsid w:val="001D3D4A"/>
    <w:rsid w:val="001F3825"/>
    <w:rsid w:val="002049CE"/>
    <w:rsid w:val="00215552"/>
    <w:rsid w:val="0022484A"/>
    <w:rsid w:val="00225234"/>
    <w:rsid w:val="0024501E"/>
    <w:rsid w:val="00252041"/>
    <w:rsid w:val="00255C40"/>
    <w:rsid w:val="00284AE5"/>
    <w:rsid w:val="00287C44"/>
    <w:rsid w:val="00297092"/>
    <w:rsid w:val="00297ED3"/>
    <w:rsid w:val="002A6831"/>
    <w:rsid w:val="002B203C"/>
    <w:rsid w:val="002C2C2A"/>
    <w:rsid w:val="002C3CE8"/>
    <w:rsid w:val="002F6C02"/>
    <w:rsid w:val="00341F3F"/>
    <w:rsid w:val="00362728"/>
    <w:rsid w:val="00364469"/>
    <w:rsid w:val="00377AC3"/>
    <w:rsid w:val="003B188D"/>
    <w:rsid w:val="003E0486"/>
    <w:rsid w:val="003F20C7"/>
    <w:rsid w:val="00404B26"/>
    <w:rsid w:val="004152D4"/>
    <w:rsid w:val="0048543B"/>
    <w:rsid w:val="0049087D"/>
    <w:rsid w:val="00492D87"/>
    <w:rsid w:val="004B0B5A"/>
    <w:rsid w:val="004B7FF9"/>
    <w:rsid w:val="00554CC7"/>
    <w:rsid w:val="00561EAA"/>
    <w:rsid w:val="00571777"/>
    <w:rsid w:val="00584C00"/>
    <w:rsid w:val="005C3999"/>
    <w:rsid w:val="0060065E"/>
    <w:rsid w:val="00600EEB"/>
    <w:rsid w:val="00604B38"/>
    <w:rsid w:val="006231A4"/>
    <w:rsid w:val="00625BB7"/>
    <w:rsid w:val="006271EF"/>
    <w:rsid w:val="0065381F"/>
    <w:rsid w:val="00672696"/>
    <w:rsid w:val="0067739E"/>
    <w:rsid w:val="0067758B"/>
    <w:rsid w:val="00681FDF"/>
    <w:rsid w:val="00683A3F"/>
    <w:rsid w:val="006867E1"/>
    <w:rsid w:val="006A42CA"/>
    <w:rsid w:val="006A6BA6"/>
    <w:rsid w:val="006B1B46"/>
    <w:rsid w:val="00743B26"/>
    <w:rsid w:val="00764928"/>
    <w:rsid w:val="0078085D"/>
    <w:rsid w:val="007B3D4E"/>
    <w:rsid w:val="007D454C"/>
    <w:rsid w:val="007E2950"/>
    <w:rsid w:val="007F77AE"/>
    <w:rsid w:val="00810BB4"/>
    <w:rsid w:val="00812ED5"/>
    <w:rsid w:val="00820440"/>
    <w:rsid w:val="008432BC"/>
    <w:rsid w:val="00895730"/>
    <w:rsid w:val="008A5169"/>
    <w:rsid w:val="008B21B4"/>
    <w:rsid w:val="008F2014"/>
    <w:rsid w:val="008F7D88"/>
    <w:rsid w:val="00902E46"/>
    <w:rsid w:val="009271C0"/>
    <w:rsid w:val="00963E33"/>
    <w:rsid w:val="00974B70"/>
    <w:rsid w:val="00981C2B"/>
    <w:rsid w:val="009828AF"/>
    <w:rsid w:val="00985A1A"/>
    <w:rsid w:val="0099058C"/>
    <w:rsid w:val="0099536B"/>
    <w:rsid w:val="009D467A"/>
    <w:rsid w:val="009D799B"/>
    <w:rsid w:val="009F6A6B"/>
    <w:rsid w:val="009F7EB4"/>
    <w:rsid w:val="00A13910"/>
    <w:rsid w:val="00A15D12"/>
    <w:rsid w:val="00A338F3"/>
    <w:rsid w:val="00A37C56"/>
    <w:rsid w:val="00A651DC"/>
    <w:rsid w:val="00A71F85"/>
    <w:rsid w:val="00A8290D"/>
    <w:rsid w:val="00A96BF2"/>
    <w:rsid w:val="00AA347E"/>
    <w:rsid w:val="00AB73D4"/>
    <w:rsid w:val="00AC00CB"/>
    <w:rsid w:val="00AC7289"/>
    <w:rsid w:val="00B103D2"/>
    <w:rsid w:val="00B10A52"/>
    <w:rsid w:val="00B61429"/>
    <w:rsid w:val="00B62118"/>
    <w:rsid w:val="00B85472"/>
    <w:rsid w:val="00B94D12"/>
    <w:rsid w:val="00B94E39"/>
    <w:rsid w:val="00B9662E"/>
    <w:rsid w:val="00BA6EA6"/>
    <w:rsid w:val="00C54163"/>
    <w:rsid w:val="00C65C6C"/>
    <w:rsid w:val="00C730CF"/>
    <w:rsid w:val="00C755EA"/>
    <w:rsid w:val="00C770CC"/>
    <w:rsid w:val="00C83D4C"/>
    <w:rsid w:val="00C850AE"/>
    <w:rsid w:val="00C95F8B"/>
    <w:rsid w:val="00CB08CD"/>
    <w:rsid w:val="00D610D5"/>
    <w:rsid w:val="00D742B4"/>
    <w:rsid w:val="00D80096"/>
    <w:rsid w:val="00DB275E"/>
    <w:rsid w:val="00DE049A"/>
    <w:rsid w:val="00E039FB"/>
    <w:rsid w:val="00E20BD3"/>
    <w:rsid w:val="00E425AB"/>
    <w:rsid w:val="00E6599D"/>
    <w:rsid w:val="00E8032D"/>
    <w:rsid w:val="00EA3EDB"/>
    <w:rsid w:val="00EC76F4"/>
    <w:rsid w:val="00ED0910"/>
    <w:rsid w:val="00ED16BE"/>
    <w:rsid w:val="00EE6FA6"/>
    <w:rsid w:val="00EF04B1"/>
    <w:rsid w:val="00EF1A84"/>
    <w:rsid w:val="00F6134B"/>
    <w:rsid w:val="00F82692"/>
    <w:rsid w:val="00F8576C"/>
    <w:rsid w:val="00FA0B1A"/>
    <w:rsid w:val="00FA157F"/>
    <w:rsid w:val="00FB4DFF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7A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9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9"/>
    <w:rsid w:val="00377A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828A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B0B5A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651DC"/>
    <w:rPr>
      <w:b/>
      <w:bCs/>
    </w:rPr>
  </w:style>
  <w:style w:type="character" w:customStyle="1" w:styleId="Heading2Char">
    <w:name w:val="Heading 2 Char"/>
    <w:link w:val="Heading2"/>
    <w:uiPriority w:val="9"/>
    <w:rsid w:val="00F613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134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61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hares\StrangemenIV\Accounts\unit%20price%20ongoin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hares\StrangemenIV\Accounts\unit%20price%20ongoi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hares\StrangemenIV\Accounts\portfolio_2018112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Sheet1!$B$5</c:f>
              <c:strCache>
                <c:ptCount val="1"/>
                <c:pt idx="0">
                  <c:v>unit value</c:v>
                </c:pt>
              </c:strCache>
            </c:strRef>
          </c:tx>
          <c:cat>
            <c:strRef>
              <c:f>Sheet1!$C$3:$T$4</c:f>
              <c:strCache>
                <c:ptCount val="18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</c:strCache>
            </c:strRef>
          </c:cat>
          <c:val>
            <c:numRef>
              <c:f>Sheet1!$C$5:$T$5</c:f>
              <c:numCache>
                <c:formatCode>[$£-809]#,##0.00</c:formatCode>
                <c:ptCount val="18"/>
                <c:pt idx="0">
                  <c:v>30</c:v>
                </c:pt>
                <c:pt idx="1">
                  <c:v>30</c:v>
                </c:pt>
                <c:pt idx="2">
                  <c:v>30.759999999999998</c:v>
                </c:pt>
                <c:pt idx="3">
                  <c:v>30.77</c:v>
                </c:pt>
                <c:pt idx="4">
                  <c:v>32.620000000000005</c:v>
                </c:pt>
                <c:pt idx="5">
                  <c:v>33.849999999999994</c:v>
                </c:pt>
                <c:pt idx="6">
                  <c:v>33.849999999999994</c:v>
                </c:pt>
                <c:pt idx="7">
                  <c:v>33.660000000000004</c:v>
                </c:pt>
                <c:pt idx="8">
                  <c:v>34.720000000000006</c:v>
                </c:pt>
                <c:pt idx="9">
                  <c:v>37.58</c:v>
                </c:pt>
                <c:pt idx="10">
                  <c:v>35.99</c:v>
                </c:pt>
                <c:pt idx="11">
                  <c:v>35</c:v>
                </c:pt>
                <c:pt idx="12">
                  <c:v>36.410000000000004</c:v>
                </c:pt>
                <c:pt idx="13">
                  <c:v>35.15</c:v>
                </c:pt>
                <c:pt idx="14" formatCode="General">
                  <c:v>34.870000000000005</c:v>
                </c:pt>
                <c:pt idx="15" formatCode="General">
                  <c:v>34.190000000000005</c:v>
                </c:pt>
                <c:pt idx="16" formatCode="General">
                  <c:v>30.650000000000002</c:v>
                </c:pt>
                <c:pt idx="17" formatCode="General">
                  <c:v>30.45</c:v>
                </c:pt>
              </c:numCache>
            </c:numRef>
          </c:val>
        </c:ser>
        <c:shape val="box"/>
        <c:axId val="119392512"/>
        <c:axId val="119402496"/>
        <c:axId val="0"/>
      </c:bar3DChart>
      <c:catAx>
        <c:axId val="119392512"/>
        <c:scaling>
          <c:orientation val="minMax"/>
        </c:scaling>
        <c:axPos val="b"/>
        <c:tickLblPos val="nextTo"/>
        <c:crossAx val="119402496"/>
        <c:crosses val="autoZero"/>
        <c:auto val="1"/>
        <c:lblAlgn val="ctr"/>
        <c:lblOffset val="100"/>
      </c:catAx>
      <c:valAx>
        <c:axId val="119402496"/>
        <c:scaling>
          <c:orientation val="minMax"/>
        </c:scaling>
        <c:axPos val="l"/>
        <c:majorGridlines/>
        <c:numFmt formatCode="[$£-809]#,##0.00" sourceLinked="1"/>
        <c:tickLblPos val="nextTo"/>
        <c:crossAx val="119392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Sheet1!$B$10</c:f>
              <c:strCache>
                <c:ptCount val="1"/>
                <c:pt idx="0">
                  <c:v>% rise</c:v>
                </c:pt>
              </c:strCache>
            </c:strRef>
          </c:tx>
          <c:cat>
            <c:strRef>
              <c:f>Sheet1!$C$8:$T$9</c:f>
              <c:strCache>
                <c:ptCount val="18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</c:strCache>
            </c:strRef>
          </c:cat>
          <c:val>
            <c:numRef>
              <c:f>Sheet1!$C$10:$T$10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2.54</c:v>
                </c:pt>
                <c:pt idx="3">
                  <c:v>2.48</c:v>
                </c:pt>
                <c:pt idx="4">
                  <c:v>8.75</c:v>
                </c:pt>
                <c:pt idx="5">
                  <c:v>12.82</c:v>
                </c:pt>
                <c:pt idx="6">
                  <c:v>12.82</c:v>
                </c:pt>
                <c:pt idx="7">
                  <c:v>12.209999999999999</c:v>
                </c:pt>
                <c:pt idx="8">
                  <c:v>15.729999999999999</c:v>
                </c:pt>
                <c:pt idx="9">
                  <c:v>20.2</c:v>
                </c:pt>
                <c:pt idx="10">
                  <c:v>19.97</c:v>
                </c:pt>
                <c:pt idx="11">
                  <c:v>16.68</c:v>
                </c:pt>
                <c:pt idx="12">
                  <c:v>21.37</c:v>
                </c:pt>
                <c:pt idx="13">
                  <c:v>17.16</c:v>
                </c:pt>
                <c:pt idx="14">
                  <c:v>16.23</c:v>
                </c:pt>
                <c:pt idx="15">
                  <c:v>13.96</c:v>
                </c:pt>
                <c:pt idx="16">
                  <c:v>2.15</c:v>
                </c:pt>
                <c:pt idx="17">
                  <c:v>1.47</c:v>
                </c:pt>
              </c:numCache>
            </c:numRef>
          </c:val>
        </c:ser>
        <c:shape val="box"/>
        <c:axId val="147263488"/>
        <c:axId val="147265408"/>
        <c:axId val="0"/>
      </c:bar3DChart>
      <c:catAx>
        <c:axId val="147263488"/>
        <c:scaling>
          <c:orientation val="minMax"/>
        </c:scaling>
        <c:axPos val="b"/>
        <c:tickLblPos val="nextTo"/>
        <c:crossAx val="147265408"/>
        <c:crosses val="autoZero"/>
        <c:auto val="1"/>
        <c:lblAlgn val="ctr"/>
        <c:lblOffset val="100"/>
      </c:catAx>
      <c:valAx>
        <c:axId val="147265408"/>
        <c:scaling>
          <c:orientation val="minMax"/>
        </c:scaling>
        <c:axPos val="l"/>
        <c:majorGridlines/>
        <c:numFmt formatCode="General" sourceLinked="1"/>
        <c:tickLblPos val="nextTo"/>
        <c:crossAx val="14726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/>
      <c:pieChart>
        <c:varyColors val="1"/>
        <c:ser>
          <c:idx val="0"/>
          <c:order val="0"/>
          <c:cat>
            <c:strRef>
              <c:f>'Portfolio 20110309'!$M$15:$M$18</c:f>
              <c:strCache>
                <c:ptCount val="4"/>
                <c:pt idx="0">
                  <c:v>Shares Input</c:v>
                </c:pt>
                <c:pt idx="1">
                  <c:v>House Crowd</c:v>
                </c:pt>
                <c:pt idx="2">
                  <c:v>Bitcoin</c:v>
                </c:pt>
                <c:pt idx="3">
                  <c:v>Cash</c:v>
                </c:pt>
              </c:strCache>
            </c:strRef>
          </c:cat>
          <c:val>
            <c:numRef>
              <c:f>'Portfolio 20110309'!$N$15:$N$18</c:f>
              <c:numCache>
                <c:formatCode>General</c:formatCode>
                <c:ptCount val="4"/>
                <c:pt idx="0">
                  <c:v>8727.52</c:v>
                </c:pt>
                <c:pt idx="1">
                  <c:v>1000</c:v>
                </c:pt>
                <c:pt idx="2">
                  <c:v>270.48999999999995</c:v>
                </c:pt>
                <c:pt idx="3">
                  <c:v>4148.21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6200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https://frenchtogether.com/wp-content/uploads/2018/03/Il-ny-a-que-les-imbeciles-qui.mp3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9</cp:revision>
  <cp:lastPrinted>2018-10-21T16:12:00Z</cp:lastPrinted>
  <dcterms:created xsi:type="dcterms:W3CDTF">2019-01-27T14:10:00Z</dcterms:created>
  <dcterms:modified xsi:type="dcterms:W3CDTF">2019-01-27T15:31:00Z</dcterms:modified>
</cp:coreProperties>
</file>